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6679E4">
      <w:pPr>
        <w:tabs>
          <w:tab w:val="left" w:pos="709"/>
        </w:tabs>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74283D" w:rsidP="006679E4">
      <w:pPr>
        <w:tabs>
          <w:tab w:val="left" w:pos="709"/>
        </w:tabs>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w:t>
      </w:r>
      <w:r w:rsidR="0025451C">
        <w:rPr>
          <w:rFonts w:ascii="Times New Roman" w:eastAsia="Times New Roman" w:hAnsi="Times New Roman" w:cs="Times New Roman"/>
          <w:b/>
          <w:sz w:val="28"/>
          <w:szCs w:val="28"/>
          <w:u w:val="single"/>
          <w:lang w:eastAsia="uk-UA"/>
        </w:rPr>
        <w:t xml:space="preserve">оказників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6679E4">
      <w:pPr>
        <w:tabs>
          <w:tab w:val="left" w:pos="709"/>
        </w:tabs>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p>
    <w:p w:rsidR="00311748" w:rsidRPr="00B704EE"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6HX “Дані за валютами та траншами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2216 АП, 2218 А, 2219 КА, 2220 А, 2226 АП, 2228 А, 2229 КА, 2233 А, 2236 АП, </w:t>
      </w:r>
      <w:r w:rsidRPr="00311748">
        <w:rPr>
          <w:rFonts w:ascii="Times New Roman" w:eastAsia="Times New Roman" w:hAnsi="Times New Roman" w:cs="Times New Roman"/>
          <w:sz w:val="28"/>
          <w:szCs w:val="28"/>
          <w:lang w:eastAsia="uk-UA"/>
        </w:rPr>
        <w:lastRenderedPageBreak/>
        <w:t xml:space="preserve">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 грн і більше.</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w:t>
      </w:r>
      <w:r w:rsidR="008856CB">
        <w:rPr>
          <w:rFonts w:ascii="Times New Roman" w:eastAsia="Times New Roman" w:hAnsi="Times New Roman" w:cs="Times New Roman"/>
          <w:sz w:val="28"/>
          <w:szCs w:val="28"/>
          <w:lang w:eastAsia="uk-UA"/>
        </w:rPr>
        <w:t>об’єднуються</w:t>
      </w:r>
      <w:r w:rsidRPr="00311748">
        <w:rPr>
          <w:rFonts w:ascii="Times New Roman" w:eastAsia="Times New Roman" w:hAnsi="Times New Roman" w:cs="Times New Roman"/>
          <w:sz w:val="28"/>
          <w:szCs w:val="28"/>
          <w:lang w:eastAsia="uk-UA"/>
        </w:rPr>
        <w:t xml:space="preserve">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групи контрагентів становить один відсоток статутного капіталу банку і більше.</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несе спільний економічний ризик разом з іншими контрагентами, не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язаних з банком осіб визначається згідно зі статтею 52 Закону України </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яка має непогашену заборгованість, перестає бути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векселедавцем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визначеною банком зобов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за векселем особою.</w:t>
      </w:r>
    </w:p>
    <w:p w:rsidR="0070698A" w:rsidRPr="0070698A" w:rsidRDefault="00311748" w:rsidP="006679E4">
      <w:pPr>
        <w:tabs>
          <w:tab w:val="left" w:pos="709"/>
        </w:tabs>
        <w:spacing w:before="120" w:after="0" w:line="240" w:lineRule="auto"/>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70698A" w:rsidRPr="0070698A">
        <w:rPr>
          <w:rFonts w:ascii="Times New Roman" w:eastAsia="Times New Roman" w:hAnsi="Times New Roman" w:cs="Times New Roman"/>
          <w:sz w:val="28"/>
          <w:szCs w:val="28"/>
          <w:lang w:eastAsia="uk-UA"/>
        </w:rPr>
        <w:t>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6679E4">
      <w:pPr>
        <w:tabs>
          <w:tab w:val="left" w:pos="709"/>
        </w:tabs>
        <w:spacing w:after="0" w:line="240" w:lineRule="auto"/>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6679E4">
      <w:pPr>
        <w:tabs>
          <w:tab w:val="left" w:pos="709"/>
        </w:tabs>
        <w:spacing w:after="0" w:line="240" w:lineRule="auto"/>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6679E4">
      <w:pPr>
        <w:tabs>
          <w:tab w:val="left" w:pos="709"/>
        </w:tabs>
        <w:spacing w:after="0" w:line="240" w:lineRule="auto"/>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фізичною особою.</w:t>
      </w:r>
    </w:p>
    <w:p w:rsidR="0070698A" w:rsidRPr="0070698A" w:rsidRDefault="0070698A" w:rsidP="006679E4">
      <w:pPr>
        <w:tabs>
          <w:tab w:val="left" w:pos="709"/>
        </w:tabs>
        <w:spacing w:before="80" w:after="0" w:line="240" w:lineRule="auto"/>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відповідно до яких у банку виникають активи та/або зобов</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язання.</w:t>
      </w:r>
    </w:p>
    <w:p w:rsidR="00311748" w:rsidRPr="0070698A" w:rsidRDefault="0070698A" w:rsidP="006679E4">
      <w:pPr>
        <w:tabs>
          <w:tab w:val="left" w:pos="709"/>
        </w:tabs>
        <w:spacing w:before="80" w:after="0" w:line="240" w:lineRule="auto"/>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реєстраційного коду</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F60BD8" w:rsidRDefault="00F60BD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6679E4">
      <w:pPr>
        <w:tabs>
          <w:tab w:val="left" w:pos="709"/>
        </w:tabs>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6F15D9" w:rsidRPr="00321F95" w:rsidRDefault="006F15D9" w:rsidP="006679E4">
      <w:pPr>
        <w:tabs>
          <w:tab w:val="left" w:pos="709"/>
        </w:tabs>
        <w:spacing w:before="120"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74283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Default="006F15D9" w:rsidP="006679E4">
      <w:pPr>
        <w:tabs>
          <w:tab w:val="left" w:pos="709"/>
        </w:tabs>
        <w:spacing w:before="80"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90425F" w:rsidRPr="0074283D" w:rsidRDefault="0090425F" w:rsidP="006679E4">
      <w:pPr>
        <w:tabs>
          <w:tab w:val="left" w:pos="709"/>
        </w:tabs>
        <w:spacing w:before="120" w:after="0" w:line="240" w:lineRule="auto"/>
        <w:ind w:firstLine="709"/>
        <w:jc w:val="both"/>
        <w:rPr>
          <w:rFonts w:ascii="Times New Roman" w:eastAsia="Times New Roman" w:hAnsi="Times New Roman" w:cs="Times New Roman"/>
          <w:sz w:val="28"/>
          <w:szCs w:val="28"/>
          <w:lang w:val="ru-RU"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F</w:t>
      </w:r>
      <w:r w:rsidRPr="0074283D">
        <w:rPr>
          <w:rFonts w:ascii="Times New Roman" w:eastAsia="Times New Roman" w:hAnsi="Times New Roman" w:cs="Times New Roman"/>
          <w:b/>
          <w:sz w:val="28"/>
          <w:szCs w:val="28"/>
          <w:lang w:val="ru-RU" w:eastAsia="uk-UA"/>
        </w:rPr>
        <w:t>073</w:t>
      </w:r>
      <w:r w:rsidRPr="0074283D">
        <w:rPr>
          <w:rFonts w:ascii="Times New Roman" w:eastAsia="Times New Roman" w:hAnsi="Times New Roman" w:cs="Times New Roman"/>
          <w:sz w:val="28"/>
          <w:szCs w:val="28"/>
          <w:lang w:eastAsia="uk-UA"/>
        </w:rPr>
        <w:t xml:space="preserve"> – код належності до боржників, кредити яким надані для реалізації інвестиційного проекту</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спеціалізованого кредитування</w:t>
      </w:r>
      <w:r w:rsidRPr="0074283D">
        <w:rPr>
          <w:rFonts w:ascii="Times New Roman" w:eastAsia="Times New Roman" w:hAnsi="Times New Roman" w:cs="Times New Roman"/>
          <w:sz w:val="28"/>
          <w:szCs w:val="28"/>
          <w:lang w:val="ru-RU" w:eastAsia="uk-UA"/>
        </w:rPr>
        <w:t>.</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420C0"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цифровий код країни контрагента</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F420C0" w:rsidRPr="00311748">
        <w:rPr>
          <w:rFonts w:ascii="Times New Roman" w:eastAsia="Times New Roman" w:hAnsi="Times New Roman" w:cs="Times New Roman"/>
          <w:sz w:val="28"/>
          <w:szCs w:val="28"/>
          <w:lang w:eastAsia="uk-UA"/>
        </w:rPr>
        <w:t xml:space="preserve">язаної з банком особи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040).</w:t>
      </w:r>
    </w:p>
    <w:p w:rsidR="00F420C0"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483C8F" w:rsidRPr="00483C8F">
        <w:rPr>
          <w:sz w:val="28"/>
          <w:szCs w:val="28"/>
        </w:rPr>
        <w:t xml:space="preserve"> </w:t>
      </w:r>
      <w:r w:rsidR="00F420C0"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 xml:space="preserve">110). </w:t>
      </w:r>
    </w:p>
    <w:p w:rsidR="00927DAE"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BB2D4E"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625FD4" w:rsidRPr="0074283D" w:rsidRDefault="00625FD4"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072</w:t>
      </w:r>
      <w:r w:rsidRPr="0074283D">
        <w:rPr>
          <w:rFonts w:ascii="Times New Roman" w:eastAsia="Times New Roman" w:hAnsi="Times New Roman" w:cs="Times New Roman"/>
          <w:sz w:val="28"/>
          <w:szCs w:val="28"/>
          <w:lang w:eastAsia="uk-UA"/>
        </w:rPr>
        <w:t xml:space="preserve"> – код інституційного сектору економіки контрагента</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 юридичної особи  (довідник </w:t>
      </w:r>
      <w:r w:rsidRPr="0074283D">
        <w:rPr>
          <w:rFonts w:ascii="Times New Roman" w:eastAsia="Times New Roman" w:hAnsi="Times New Roman" w:cs="Times New Roman"/>
          <w:sz w:val="28"/>
          <w:szCs w:val="28"/>
          <w:lang w:val="en-US" w:eastAsia="uk-UA"/>
        </w:rPr>
        <w:t>K</w:t>
      </w:r>
      <w:r w:rsidRPr="0074283D">
        <w:rPr>
          <w:rFonts w:ascii="Times New Roman" w:eastAsia="Times New Roman" w:hAnsi="Times New Roman" w:cs="Times New Roman"/>
          <w:sz w:val="28"/>
          <w:szCs w:val="28"/>
          <w:lang w:eastAsia="uk-UA"/>
        </w:rPr>
        <w:t>072).</w:t>
      </w:r>
    </w:p>
    <w:p w:rsidR="00927DAE" w:rsidRDefault="00311748" w:rsidP="006679E4">
      <w:pPr>
        <w:tabs>
          <w:tab w:val="left" w:pos="709"/>
        </w:tabs>
        <w:spacing w:after="0" w:line="240" w:lineRule="auto"/>
        <w:ind w:firstLine="708"/>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B128B" w:rsidRPr="00255A9E" w:rsidRDefault="005B128B" w:rsidP="005B128B">
      <w:pPr>
        <w:spacing w:before="120" w:after="0"/>
        <w:ind w:firstLine="709"/>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b/>
          <w:sz w:val="28"/>
          <w:szCs w:val="28"/>
          <w:lang w:eastAsia="uk-UA"/>
        </w:rPr>
        <w:t>Параметр K140</w:t>
      </w:r>
      <w:r w:rsidRPr="00163620">
        <w:rPr>
          <w:rFonts w:eastAsia="Times New Roman"/>
          <w:color w:val="00B050"/>
          <w:sz w:val="28"/>
          <w:szCs w:val="28"/>
        </w:rPr>
        <w:t xml:space="preserve"> </w:t>
      </w:r>
      <w:r w:rsidRPr="00255A9E">
        <w:rPr>
          <w:rFonts w:ascii="Times New Roman" w:eastAsia="Times New Roman" w:hAnsi="Times New Roman" w:cs="Times New Roman"/>
          <w:sz w:val="28"/>
          <w:szCs w:val="28"/>
          <w:lang w:eastAsia="uk-UA"/>
        </w:rPr>
        <w:t>– код розміру суб'єкта господарювання (довідник K140), визначений на підставі оцінки наданої фінансової звітності:</w:t>
      </w:r>
    </w:p>
    <w:p w:rsidR="005B128B" w:rsidRPr="00255A9E" w:rsidRDefault="005B128B" w:rsidP="005B128B">
      <w:pPr>
        <w:pStyle w:val="a3"/>
        <w:tabs>
          <w:tab w:val="left" w:pos="1134"/>
        </w:tabs>
        <w:ind w:left="36"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а) зі значеннями параметра K140=1,2,3,4,5,6 – визначається розмір суб’єкта господарювання на підставі оцінки наданої фінансової звітності. При визначенні суб'єктів великого, середнього, малого підприємництва, суб'єктів мікро підприємництва, необхідно керуватися Статтею 2 ЗУ № 4196-ІХ.</w:t>
      </w:r>
    </w:p>
    <w:p w:rsidR="005B128B" w:rsidRPr="00255A9E" w:rsidRDefault="005B128B" w:rsidP="005B128B">
      <w:pPr>
        <w:pStyle w:val="a3"/>
        <w:tabs>
          <w:tab w:val="left" w:pos="1134"/>
        </w:tabs>
        <w:ind w:left="36"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 xml:space="preserve">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 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 </w:t>
      </w:r>
    </w:p>
    <w:p w:rsidR="005B128B" w:rsidRPr="00255A9E" w:rsidRDefault="005B128B" w:rsidP="005B128B">
      <w:pPr>
        <w:pStyle w:val="a3"/>
        <w:tabs>
          <w:tab w:val="left" w:pos="1134"/>
        </w:tabs>
        <w:spacing w:after="0"/>
        <w:ind w:left="34"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Якщо неможливо отримати актуальну фінансову звітність суб’єкта господарювання параметр K140 визначається на підставі останньої наявної фінансової звітності.</w:t>
      </w:r>
    </w:p>
    <w:p w:rsidR="00FB3F18" w:rsidRDefault="005B128B" w:rsidP="005B128B">
      <w:pPr>
        <w:tabs>
          <w:tab w:val="left" w:pos="709"/>
        </w:tabs>
        <w:spacing w:after="0" w:line="240" w:lineRule="auto"/>
        <w:ind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б) значення параметра K140=9 – зазначається для фізичних осіб, банків, бюджетних установ, нерезидентів, для контрагента, щодо якого обліковується тільки дебіторська заборгованість за господарською діяльністю банку (рахунки 3510, 3519), та у разі неможливості отримання банком необхідної інформації для визначення розміру суб’єкта господарювання.</w:t>
      </w:r>
    </w:p>
    <w:p w:rsidR="009D4B50" w:rsidRPr="009D4B50" w:rsidRDefault="009D4B5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w:t>
      </w:r>
      <w:r w:rsidR="002B2E8C" w:rsidRPr="009D4B50">
        <w:rPr>
          <w:rFonts w:ascii="Times New Roman" w:eastAsia="Times New Roman" w:hAnsi="Times New Roman" w:cs="Times New Roman"/>
          <w:sz w:val="28"/>
          <w:szCs w:val="28"/>
          <w:lang w:eastAsia="uk-UA"/>
        </w:rPr>
        <w:t>код виду економічної діяльності контрагента</w:t>
      </w:r>
      <w:r w:rsidR="002A77EA" w:rsidRPr="002A77EA">
        <w:rPr>
          <w:rFonts w:ascii="Times New Roman" w:eastAsia="Times New Roman" w:hAnsi="Times New Roman" w:cs="Times New Roman"/>
          <w:sz w:val="28"/>
          <w:szCs w:val="28"/>
          <w:lang w:val="ru-RU" w:eastAsia="uk-UA"/>
        </w:rPr>
        <w:t xml:space="preserve">  </w:t>
      </w:r>
      <w:r w:rsidR="002B2E8C" w:rsidRPr="009D4B50">
        <w:rPr>
          <w:rFonts w:ascii="Times New Roman" w:eastAsia="Times New Roman" w:hAnsi="Times New Roman" w:cs="Times New Roman"/>
          <w:sz w:val="28"/>
          <w:szCs w:val="28"/>
          <w:lang w:eastAsia="uk-UA"/>
        </w:rPr>
        <w:t xml:space="preserve">/пов’язаної з банком особи – юридичної особи </w:t>
      </w:r>
      <w:r w:rsidRPr="009D4B50">
        <w:rPr>
          <w:rFonts w:ascii="Times New Roman" w:eastAsia="Times New Roman" w:hAnsi="Times New Roman" w:cs="Times New Roman"/>
          <w:sz w:val="28"/>
          <w:szCs w:val="28"/>
          <w:lang w:eastAsia="uk-UA"/>
        </w:rPr>
        <w:t xml:space="preserve">(крім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вид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w:t>
      </w:r>
      <w:r w:rsidR="002B2E8C" w:rsidRPr="009D4B50">
        <w:rPr>
          <w:rFonts w:ascii="Times New Roman" w:eastAsia="Times New Roman" w:hAnsi="Times New Roman" w:cs="Times New Roman"/>
          <w:sz w:val="28"/>
          <w:szCs w:val="28"/>
          <w:lang w:eastAsia="uk-UA"/>
        </w:rPr>
        <w:t>кодів</w:t>
      </w:r>
      <w:r w:rsidR="002B2E8C" w:rsidRPr="002B7290">
        <w:rPr>
          <w:rFonts w:ascii="Times New Roman" w:eastAsia="Times New Roman" w:hAnsi="Times New Roman" w:cs="Times New Roman"/>
          <w:color w:val="00B050"/>
          <w:sz w:val="28"/>
          <w:szCs w:val="28"/>
          <w:lang w:eastAsia="uk-UA"/>
        </w:rPr>
        <w:t xml:space="preserve"> </w:t>
      </w:r>
      <w:r w:rsidRPr="009D4B50">
        <w:rPr>
          <w:rFonts w:ascii="Times New Roman" w:eastAsia="Times New Roman" w:hAnsi="Times New Roman" w:cs="Times New Roman"/>
          <w:sz w:val="28"/>
          <w:szCs w:val="28"/>
          <w:lang w:eastAsia="uk-UA"/>
        </w:rPr>
        <w:t>КВЕД, зазначається код основного виду економічної діяльності, що є першим у списку кодів довідки за ЄДРПОУ.</w:t>
      </w:r>
    </w:p>
    <w:p w:rsidR="009D4B50" w:rsidRPr="009D4B50" w:rsidRDefault="009D4B5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F66638" w:rsidRPr="00F66638" w:rsidRDefault="00F66638" w:rsidP="006679E4">
      <w:pPr>
        <w:tabs>
          <w:tab w:val="left" w:pos="709"/>
        </w:tabs>
        <w:spacing w:before="120" w:after="0" w:line="240" w:lineRule="auto"/>
        <w:ind w:firstLine="709"/>
        <w:rPr>
          <w:rFonts w:ascii="Times New Roman" w:eastAsia="Times New Roman" w:hAnsi="Times New Roman" w:cs="Times New Roman"/>
          <w:color w:val="00B050"/>
          <w:sz w:val="28"/>
          <w:szCs w:val="28"/>
        </w:rPr>
      </w:pPr>
      <w:r w:rsidRPr="00F66638">
        <w:rPr>
          <w:rFonts w:ascii="Times New Roman" w:eastAsia="Times New Roman" w:hAnsi="Times New Roman" w:cs="Times New Roman"/>
          <w:b/>
          <w:sz w:val="28"/>
          <w:szCs w:val="28"/>
        </w:rPr>
        <w:t>НРП K020</w:t>
      </w:r>
      <w:r w:rsidRPr="00F66638">
        <w:rPr>
          <w:rFonts w:ascii="Times New Roman" w:eastAsia="Times New Roman" w:hAnsi="Times New Roman" w:cs="Times New Roman"/>
          <w:sz w:val="28"/>
          <w:szCs w:val="28"/>
        </w:rPr>
        <w:t xml:space="preserve"> – ідентифікаційний</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реєстраційний код</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номер контрагента</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 xml:space="preserve">пов’язаної з банком особи. </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80FC9">
        <w:rPr>
          <w:rFonts w:ascii="Times New Roman" w:eastAsia="Times New Roman" w:hAnsi="Times New Roman" w:cs="Times New Roman"/>
          <w:b/>
          <w:sz w:val="28"/>
          <w:szCs w:val="28"/>
          <w:lang w:eastAsia="uk-UA"/>
        </w:rPr>
        <w:t>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реєстраційного коду</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номера (довідник K021) та є супутнім параметром до НРП K020.</w:t>
      </w:r>
    </w:p>
    <w:p w:rsidR="00652BED" w:rsidRDefault="00032503"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032503">
        <w:rPr>
          <w:rFonts w:ascii="Times New Roman" w:eastAsia="Times New Roman" w:hAnsi="Times New Roman" w:cs="Times New Roman"/>
          <w:b/>
          <w:sz w:val="28"/>
          <w:szCs w:val="28"/>
          <w:lang w:eastAsia="uk-UA"/>
        </w:rPr>
        <w:t>НРП Q029</w:t>
      </w:r>
      <w:r w:rsidRPr="00032503">
        <w:rPr>
          <w:rFonts w:ascii="Times New Roman" w:eastAsia="Times New Roman" w:hAnsi="Times New Roman" w:cs="Times New Roman"/>
          <w:sz w:val="28"/>
          <w:szCs w:val="28"/>
          <w:lang w:eastAsia="uk-UA"/>
        </w:rPr>
        <w:t xml:space="preserve"> – код</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номер контрагента банку</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032503">
        <w:rPr>
          <w:rFonts w:ascii="Times New Roman" w:eastAsia="Times New Roman" w:hAnsi="Times New Roman" w:cs="Times New Roman"/>
          <w:sz w:val="28"/>
          <w:szCs w:val="28"/>
          <w:lang w:eastAsia="uk-UA"/>
        </w:rPr>
        <w:t>язаної з банком особи нерезидента або серія і номер свідоцтва про народження неповнолітньої дитини</w:t>
      </w:r>
      <w:r w:rsidRPr="00032503">
        <w:rPr>
          <w:rFonts w:ascii="Times New Roman" w:eastAsia="Times New Roman" w:hAnsi="Times New Roman" w:cs="Times New Roman"/>
          <w:sz w:val="28"/>
          <w:szCs w:val="28"/>
        </w:rPr>
        <w:t>, ідентифікаційний</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реєстраційний код/номер контрагента</w:t>
      </w:r>
      <w:r w:rsidR="00652BED" w:rsidRPr="00652BED">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p>
    <w:p w:rsidR="00311748" w:rsidRDefault="0031174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 зазначається якщо цей 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311748"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пов’язаної з банком особи (повне найменування юридичної особи, прізвище, ім’я, по батькові фізичної особи).</w:t>
      </w:r>
    </w:p>
    <w:p w:rsidR="00A053AF" w:rsidRDefault="00A053AF"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A053AF">
        <w:rPr>
          <w:rFonts w:ascii="Times New Roman" w:eastAsia="Times New Roman" w:hAnsi="Times New Roman" w:cs="Times New Roman"/>
          <w:sz w:val="28"/>
          <w:szCs w:val="28"/>
          <w:lang w:eastAsia="uk-UA"/>
        </w:rPr>
        <w:t xml:space="preserve">язаної з банком особи, що є банком-резидентом, найменування зазначається згідно з Довідником банківських установ України RCUKRU </w:t>
      </w:r>
      <w:r w:rsidRPr="0074283D">
        <w:rPr>
          <w:rFonts w:ascii="Times New Roman" w:eastAsia="Times New Roman" w:hAnsi="Times New Roman" w:cs="Times New Roman"/>
          <w:sz w:val="28"/>
          <w:szCs w:val="28"/>
          <w:lang w:eastAsia="uk-UA"/>
        </w:rPr>
        <w:t>(колонка “</w:t>
      </w:r>
      <w:r w:rsidR="004F4D9C" w:rsidRPr="0074283D">
        <w:rPr>
          <w:rFonts w:ascii="Times New Roman" w:hAnsi="Times New Roman" w:cs="Times New Roman"/>
          <w:sz w:val="28"/>
          <w:szCs w:val="28"/>
          <w:lang w:val="en-US"/>
        </w:rPr>
        <w:t>SHORTNAME</w:t>
      </w:r>
      <w:r w:rsidRPr="0074283D">
        <w:rPr>
          <w:rFonts w:ascii="Times New Roman" w:eastAsia="Times New Roman" w:hAnsi="Times New Roman" w:cs="Times New Roman"/>
          <w:sz w:val="28"/>
          <w:szCs w:val="28"/>
          <w:lang w:eastAsia="uk-UA"/>
        </w:rPr>
        <w:t>”).</w:t>
      </w:r>
    </w:p>
    <w:p w:rsidR="00A053AF" w:rsidRPr="00A053AF" w:rsidRDefault="00A053AF"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пов'язаної з банком особи, що є банком-нерезидентом, найменування зазначається згідно з Довідником іноземних банків RC_BNK (колонка “NAME”).</w:t>
      </w:r>
    </w:p>
    <w:p w:rsidR="00DA2330" w:rsidRPr="00311748" w:rsidRDefault="00311748"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D85D85" w:rsidRPr="0074283D" w:rsidRDefault="00D85D85"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Q007_3</w:t>
      </w:r>
      <w:r w:rsidRPr="0074283D">
        <w:rPr>
          <w:rFonts w:ascii="Times New Roman" w:eastAsia="Times New Roman" w:hAnsi="Times New Roman" w:cs="Times New Roman"/>
          <w:sz w:val="28"/>
          <w:szCs w:val="28"/>
          <w:lang w:eastAsia="uk-UA"/>
        </w:rPr>
        <w:t xml:space="preserve"> – дата визнання дефолту контрагента</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w:t>
      </w:r>
    </w:p>
    <w:p w:rsidR="00D85D85" w:rsidRPr="0074283D" w:rsidRDefault="00D85D85"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Q007_4</w:t>
      </w:r>
      <w:r w:rsidRPr="0074283D">
        <w:rPr>
          <w:rFonts w:ascii="Times New Roman" w:eastAsia="Times New Roman" w:hAnsi="Times New Roman" w:cs="Times New Roman"/>
          <w:sz w:val="28"/>
          <w:szCs w:val="28"/>
          <w:lang w:eastAsia="uk-UA"/>
        </w:rPr>
        <w:t xml:space="preserve"> – дата припинення визнання дефолту контрагента</w:t>
      </w:r>
      <w:r w:rsidR="008B73CF">
        <w:rPr>
          <w:rFonts w:ascii="Times New Roman" w:eastAsia="Times New Roman" w:hAnsi="Times New Roman" w:cs="Times New Roman"/>
          <w:sz w:val="28"/>
          <w:szCs w:val="28"/>
          <w:lang w:val="en-US" w:eastAsia="uk-UA"/>
        </w:rPr>
        <w:t>v</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пов’язаної з банком особи.</w:t>
      </w:r>
    </w:p>
    <w:p w:rsidR="00D85D85" w:rsidRDefault="00D85D85" w:rsidP="006679E4">
      <w:pPr>
        <w:tabs>
          <w:tab w:val="left" w:pos="709"/>
        </w:tabs>
        <w:spacing w:after="0" w:line="240" w:lineRule="auto"/>
        <w:ind w:firstLine="709"/>
        <w:jc w:val="both"/>
        <w:rPr>
          <w:rFonts w:ascii="Times New Roman" w:eastAsia="Times New Roman" w:hAnsi="Times New Roman" w:cs="Times New Roman"/>
          <w:b/>
          <w:sz w:val="28"/>
          <w:szCs w:val="28"/>
          <w:lang w:eastAsia="uk-UA"/>
        </w:rPr>
      </w:pPr>
    </w:p>
    <w:p w:rsidR="00F60BD8" w:rsidRDefault="00F60BD8" w:rsidP="006679E4">
      <w:pPr>
        <w:tabs>
          <w:tab w:val="left" w:pos="709"/>
        </w:tabs>
        <w:spacing w:after="0" w:line="240" w:lineRule="auto"/>
        <w:ind w:firstLine="709"/>
        <w:jc w:val="both"/>
        <w:rPr>
          <w:rFonts w:ascii="Times New Roman" w:eastAsia="Times New Roman" w:hAnsi="Times New Roman" w:cs="Times New Roman"/>
          <w:b/>
          <w:sz w:val="28"/>
          <w:szCs w:val="28"/>
          <w:lang w:eastAsia="uk-UA"/>
        </w:rPr>
      </w:pPr>
    </w:p>
    <w:p w:rsidR="00580FC9" w:rsidRPr="00F11073" w:rsidRDefault="00580FC9" w:rsidP="006679E4">
      <w:pPr>
        <w:tabs>
          <w:tab w:val="left" w:pos="709"/>
        </w:tabs>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321F95" w:rsidRDefault="00580FC9" w:rsidP="006679E4">
      <w:pPr>
        <w:tabs>
          <w:tab w:val="left" w:pos="709"/>
        </w:tabs>
        <w:spacing w:before="120"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A643E">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976060" w:rsidRPr="00580FC9" w:rsidRDefault="00580FC9" w:rsidP="006679E4">
      <w:pPr>
        <w:tabs>
          <w:tab w:val="left" w:pos="709"/>
        </w:tabs>
        <w:spacing w:before="120"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580FC9" w:rsidRPr="00580FC9"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Pr="00580FC9"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F33088" w:rsidRPr="00F33088" w:rsidRDefault="00F33088" w:rsidP="006679E4">
      <w:pPr>
        <w:tabs>
          <w:tab w:val="left" w:pos="709"/>
        </w:tabs>
        <w:spacing w:before="120" w:after="0" w:line="240" w:lineRule="auto"/>
        <w:ind w:firstLine="709"/>
        <w:jc w:val="both"/>
        <w:rPr>
          <w:rFonts w:ascii="Times New Roman" w:eastAsia="Times New Roman" w:hAnsi="Times New Roman" w:cs="Times New Roman"/>
          <w:sz w:val="28"/>
          <w:szCs w:val="28"/>
          <w:lang w:val="ru-RU"/>
        </w:rPr>
      </w:pPr>
      <w:r w:rsidRPr="00F33088">
        <w:rPr>
          <w:rFonts w:ascii="Times New Roman" w:eastAsia="Times New Roman" w:hAnsi="Times New Roman" w:cs="Times New Roman"/>
          <w:b/>
          <w:sz w:val="28"/>
          <w:szCs w:val="28"/>
        </w:rPr>
        <w:t xml:space="preserve">НРП </w:t>
      </w:r>
      <w:r w:rsidRPr="00F33088">
        <w:rPr>
          <w:rFonts w:ascii="Times New Roman" w:eastAsia="Times New Roman" w:hAnsi="Times New Roman" w:cs="Times New Roman"/>
          <w:b/>
          <w:sz w:val="28"/>
          <w:szCs w:val="28"/>
          <w:lang w:val="en-US"/>
        </w:rPr>
        <w:t>K</w:t>
      </w:r>
      <w:r w:rsidRPr="00F33088">
        <w:rPr>
          <w:rFonts w:ascii="Times New Roman" w:eastAsia="Times New Roman" w:hAnsi="Times New Roman" w:cs="Times New Roman"/>
          <w:b/>
          <w:sz w:val="28"/>
          <w:szCs w:val="28"/>
        </w:rPr>
        <w:t>020</w:t>
      </w:r>
      <w:r w:rsidRPr="00F33088">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номер контрагента</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пов’язаної з банком особи.</w:t>
      </w:r>
      <w:r w:rsidRPr="00F33088">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Зазначається інформація щодо всіх контрагентів</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пов’язаних з банком осіб, зазначених у файлі 6FX на звітну дату</w:t>
      </w:r>
      <w:r w:rsidRPr="00F33088">
        <w:rPr>
          <w:rFonts w:ascii="Times New Roman" w:eastAsia="Times New Roman" w:hAnsi="Times New Roman" w:cs="Times New Roman"/>
          <w:sz w:val="28"/>
          <w:szCs w:val="28"/>
          <w:lang w:val="ru-RU"/>
        </w:rPr>
        <w:t>.</w:t>
      </w:r>
    </w:p>
    <w:p w:rsidR="00580FC9" w:rsidRPr="00580FC9"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229B7">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зазначається номер основного договору/іншого первинного документа, згідно з яким 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виникає заборгованість перед банком та/або банк надає фінансові зобов’язання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Банк у звітності дотримується цього номера до повного погашення заборгованості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та/або припинення наданих банком фінансових зобов’язань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580FC9" w:rsidRPr="00580FC9"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554662" w:rsidRDefault="00580FC9"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4A704F" w:rsidRPr="00580FC9" w:rsidRDefault="00580FC9" w:rsidP="006679E4">
      <w:pPr>
        <w:tabs>
          <w:tab w:val="left" w:pos="709"/>
        </w:tabs>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580FC9"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F60BD8" w:rsidRDefault="00F60BD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6679E4">
      <w:pPr>
        <w:tabs>
          <w:tab w:val="left" w:pos="709"/>
        </w:tabs>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321F95" w:rsidRDefault="00580FC9" w:rsidP="006679E4">
      <w:pPr>
        <w:tabs>
          <w:tab w:val="left" w:pos="709"/>
        </w:tabs>
        <w:spacing w:before="120"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B3B5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580FC9" w:rsidRDefault="00580FC9" w:rsidP="006679E4">
      <w:pPr>
        <w:tabs>
          <w:tab w:val="left" w:pos="709"/>
        </w:tabs>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580FC9"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валют або банківських металів (довідник R030).</w:t>
      </w:r>
    </w:p>
    <w:p w:rsidR="002B2E8C" w:rsidRPr="00580FC9" w:rsidRDefault="00580FC9"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активної операції щодо реструктуризації/рефінансування (довідник S210).</w:t>
      </w:r>
    </w:p>
    <w:p w:rsidR="00927DAE"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F6364E" w:rsidRPr="00F6364E" w:rsidRDefault="00F6364E"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F6364E">
        <w:rPr>
          <w:rFonts w:ascii="Times New Roman" w:eastAsia="Times New Roman" w:hAnsi="Times New Roman" w:cs="Times New Roman"/>
          <w:sz w:val="28"/>
          <w:szCs w:val="28"/>
          <w:lang w:eastAsia="uk-UA"/>
        </w:rPr>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з урахуванням статусу потенційної проблемності визначеного відповідно до Положення про організацію процесу управління проблемними активами в банках, затвердженого  постановою Правління Національного банку України від 18 липня 2019 року № 97 (зі змінами) (далі – Положення №97).</w:t>
      </w:r>
    </w:p>
    <w:p w:rsidR="0027353B" w:rsidRPr="0027353B" w:rsidRDefault="0027353B"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фактора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факторів, визначеного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визначених в НРП Q034 та Q035, а також з урах</w:t>
      </w:r>
      <w:r w:rsidR="00834B7E">
        <w:rPr>
          <w:rFonts w:ascii="Times New Roman" w:eastAsia="Times New Roman" w:hAnsi="Times New Roman" w:cs="Times New Roman"/>
          <w:sz w:val="28"/>
          <w:szCs w:val="28"/>
          <w:lang w:eastAsia="uk-UA"/>
        </w:rPr>
        <w:t xml:space="preserve">уванням пункту 27 Положення 351 </w:t>
      </w:r>
      <w:r w:rsidR="00834B7E" w:rsidRPr="00834B7E">
        <w:rPr>
          <w:rFonts w:ascii="Times New Roman" w:eastAsia="Times New Roman" w:hAnsi="Times New Roman" w:cs="Times New Roman"/>
          <w:sz w:val="28"/>
          <w:szCs w:val="28"/>
          <w:lang w:eastAsia="uk-UA"/>
        </w:rPr>
        <w:t>та статусу потенційної проблемності визначеного відповідно до Положення №</w:t>
      </w:r>
      <w:r w:rsidR="00300AA5">
        <w:rPr>
          <w:rFonts w:ascii="Times New Roman" w:eastAsia="Times New Roman" w:hAnsi="Times New Roman" w:cs="Times New Roman"/>
          <w:sz w:val="28"/>
          <w:szCs w:val="28"/>
          <w:lang w:eastAsia="uk-UA"/>
        </w:rPr>
        <w:t> </w:t>
      </w:r>
      <w:r w:rsidR="00637C95">
        <w:rPr>
          <w:rFonts w:ascii="Times New Roman" w:eastAsia="Times New Roman" w:hAnsi="Times New Roman" w:cs="Times New Roman"/>
          <w:sz w:val="28"/>
          <w:szCs w:val="28"/>
          <w:lang w:eastAsia="uk-UA"/>
        </w:rPr>
        <w:t>97.</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F8682B">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A809B9" w:rsidRPr="00A809B9" w:rsidRDefault="00A809B9" w:rsidP="006679E4">
      <w:pPr>
        <w:pStyle w:val="a3"/>
        <w:tabs>
          <w:tab w:val="left" w:pos="709"/>
        </w:tabs>
        <w:spacing w:line="240" w:lineRule="auto"/>
        <w:ind w:left="0" w:firstLine="567"/>
        <w:jc w:val="both"/>
        <w:rPr>
          <w:rFonts w:ascii="Times New Roman" w:eastAsia="Times New Roman" w:hAnsi="Times New Roman" w:cs="Times New Roman"/>
          <w:sz w:val="28"/>
          <w:szCs w:val="28"/>
          <w:lang w:eastAsia="uk-UA"/>
        </w:rPr>
      </w:pPr>
      <w:r w:rsidRPr="00A809B9">
        <w:rPr>
          <w:rFonts w:ascii="Times New Roman" w:eastAsia="Times New Roman" w:hAnsi="Times New Roman" w:cs="Times New Roman"/>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103, 140, 151 Положення № 351;</w:t>
      </w:r>
    </w:p>
    <w:p w:rsidR="00A809B9" w:rsidRPr="00A809B9" w:rsidRDefault="00A809B9" w:rsidP="006679E4">
      <w:pPr>
        <w:pStyle w:val="a3"/>
        <w:tabs>
          <w:tab w:val="left" w:pos="709"/>
        </w:tabs>
        <w:spacing w:line="240" w:lineRule="auto"/>
        <w:ind w:left="0" w:firstLine="567"/>
        <w:jc w:val="both"/>
        <w:rPr>
          <w:rFonts w:ascii="Times New Roman" w:eastAsia="Times New Roman" w:hAnsi="Times New Roman" w:cs="Times New Roman"/>
          <w:sz w:val="28"/>
          <w:szCs w:val="28"/>
          <w:lang w:eastAsia="uk-UA"/>
        </w:rPr>
      </w:pPr>
      <w:r w:rsidRPr="00A809B9">
        <w:rPr>
          <w:rFonts w:ascii="Times New Roman" w:eastAsia="Times New Roman" w:hAnsi="Times New Roman" w:cs="Times New Roman"/>
          <w:sz w:val="28"/>
          <w:szCs w:val="28"/>
          <w:lang w:eastAsia="uk-UA"/>
        </w:rPr>
        <w:t>б) зі значеннями S083=1,2,3 – для активів, за якими банк визначає кредитний ризик згідно з Положенням № 351;</w:t>
      </w:r>
    </w:p>
    <w:p w:rsidR="00A809B9" w:rsidRPr="00A809B9" w:rsidRDefault="00A809B9" w:rsidP="006679E4">
      <w:pPr>
        <w:pStyle w:val="a3"/>
        <w:tabs>
          <w:tab w:val="left" w:pos="709"/>
        </w:tabs>
        <w:spacing w:line="240" w:lineRule="auto"/>
        <w:ind w:left="36" w:firstLine="567"/>
        <w:jc w:val="both"/>
        <w:rPr>
          <w:rFonts w:ascii="Times New Roman" w:eastAsia="Times New Roman" w:hAnsi="Times New Roman" w:cs="Times New Roman"/>
          <w:sz w:val="28"/>
          <w:szCs w:val="28"/>
          <w:lang w:eastAsia="uk-UA"/>
        </w:rPr>
      </w:pPr>
      <w:r w:rsidRPr="00A809B9">
        <w:rPr>
          <w:rFonts w:ascii="Times New Roman" w:eastAsia="Times New Roman" w:hAnsi="Times New Roman" w:cs="Times New Roman"/>
          <w:sz w:val="28"/>
          <w:szCs w:val="28"/>
          <w:lang w:eastAsia="uk-UA"/>
        </w:rPr>
        <w:t>в) зі значенням S083=9 – для активів, за якими не здійснюється оцінка кредитного ризику згідно з Положенням № 351.</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не застосовуються ознаки щодо належності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до групи юридичних осіб під спільним контролем/групи пов’язаних контрагентів,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(довідник F078).</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927DAE" w:rsidRDefault="00580FC9" w:rsidP="006679E4">
      <w:pPr>
        <w:pStyle w:val="a3"/>
        <w:tabs>
          <w:tab w:val="left" w:pos="709"/>
        </w:tabs>
        <w:spacing w:before="120" w:after="0" w:line="240" w:lineRule="auto"/>
        <w:ind w:left="0" w:firstLine="709"/>
        <w:contextualSpacing w:val="0"/>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w:t>
      </w:r>
      <w:r w:rsidRPr="00845C4A">
        <w:rPr>
          <w:rFonts w:ascii="Times New Roman" w:eastAsia="Times New Roman" w:hAnsi="Times New Roman" w:cs="Times New Roman"/>
          <w:color w:val="000000" w:themeColor="text1"/>
          <w:sz w:val="28"/>
          <w:szCs w:val="28"/>
          <w:lang w:eastAsia="uk-UA"/>
        </w:rPr>
        <w:t xml:space="preserve">у Кредитному  </w:t>
      </w:r>
      <w:r w:rsidRPr="00580FC9">
        <w:rPr>
          <w:rFonts w:ascii="Times New Roman" w:eastAsia="Times New Roman" w:hAnsi="Times New Roman" w:cs="Times New Roman"/>
          <w:sz w:val="28"/>
          <w:szCs w:val="28"/>
          <w:lang w:eastAsia="uk-UA"/>
        </w:rPr>
        <w:t>реєстрі Національного банку України (далі – Кредитний реєстр) на підставі якої  згідно з Положенням № 351 клас боржника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контрагента підлягає коригуванню.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6679E4">
      <w:pPr>
        <w:pStyle w:val="a3"/>
        <w:tabs>
          <w:tab w:val="left" w:pos="709"/>
        </w:tabs>
        <w:spacing w:before="80" w:after="80" w:line="240" w:lineRule="auto"/>
        <w:ind w:left="0" w:firstLine="709"/>
        <w:contextualSpacing w:val="0"/>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2B2E8C" w:rsidRDefault="002B2E8C" w:rsidP="006679E4">
      <w:pPr>
        <w:pStyle w:val="a3"/>
        <w:tabs>
          <w:tab w:val="left" w:pos="709"/>
        </w:tabs>
        <w:spacing w:before="120" w:after="0" w:line="240" w:lineRule="auto"/>
        <w:ind w:left="0" w:firstLine="709"/>
        <w:contextualSpacing w:val="0"/>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2B2E8C" w:rsidRDefault="002B2E8C"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2B2E8C" w:rsidRDefault="002B2E8C" w:rsidP="006679E4">
      <w:pPr>
        <w:pStyle w:val="a3"/>
        <w:tabs>
          <w:tab w:val="left" w:pos="709"/>
        </w:tabs>
        <w:spacing w:before="120"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w:t>
      </w:r>
      <w:r w:rsidR="0021488C">
        <w:rPr>
          <w:rFonts w:ascii="Times New Roman" w:eastAsia="Times New Roman" w:hAnsi="Times New Roman" w:cs="Times New Roman"/>
          <w:sz w:val="28"/>
          <w:szCs w:val="28"/>
          <w:lang w:eastAsia="uk-UA"/>
        </w:rPr>
        <w:t>Міжнародним</w:t>
      </w:r>
      <w:r>
        <w:rPr>
          <w:rFonts w:ascii="Times New Roman" w:eastAsia="Times New Roman" w:hAnsi="Times New Roman" w:cs="Times New Roman"/>
          <w:sz w:val="28"/>
          <w:szCs w:val="28"/>
          <w:lang w:eastAsia="uk-UA"/>
        </w:rPr>
        <w:t xml:space="preserve"> стандартом фінансової звітності 9 </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3A5255" w:rsidRPr="003A5255" w:rsidRDefault="003A5255" w:rsidP="006679E4">
      <w:pPr>
        <w:pStyle w:val="a3"/>
        <w:tabs>
          <w:tab w:val="left" w:pos="709"/>
        </w:tabs>
        <w:spacing w:line="240" w:lineRule="auto"/>
        <w:ind w:left="0" w:firstLine="709"/>
        <w:jc w:val="both"/>
        <w:rPr>
          <w:rFonts w:ascii="Times New Roman" w:eastAsia="Times New Roman" w:hAnsi="Times New Roman" w:cs="Times New Roman"/>
          <w:sz w:val="28"/>
          <w:szCs w:val="28"/>
          <w:lang w:eastAsia="uk-UA"/>
        </w:rPr>
      </w:pPr>
      <w:r w:rsidRPr="003A5255">
        <w:rPr>
          <w:rFonts w:ascii="Times New Roman" w:eastAsia="Times New Roman" w:hAnsi="Times New Roman" w:cs="Times New Roman"/>
          <w:b/>
          <w:sz w:val="28"/>
          <w:szCs w:val="28"/>
          <w:lang w:eastAsia="uk-UA"/>
        </w:rPr>
        <w:t>Параметр F131</w:t>
      </w:r>
      <w:r w:rsidRPr="00B904E6">
        <w:rPr>
          <w:color w:val="00B050"/>
          <w:szCs w:val="28"/>
        </w:rPr>
        <w:t xml:space="preserve"> </w:t>
      </w:r>
      <w:r w:rsidRPr="003A5255">
        <w:rPr>
          <w:rFonts w:ascii="Times New Roman" w:eastAsia="Times New Roman" w:hAnsi="Times New Roman" w:cs="Times New Roman"/>
          <w:sz w:val="28"/>
          <w:szCs w:val="28"/>
          <w:lang w:eastAsia="uk-UA"/>
        </w:rPr>
        <w:t>− код якості активу (довідник F131).</w:t>
      </w:r>
    </w:p>
    <w:p w:rsidR="00A14BA0" w:rsidRPr="00A14BA0" w:rsidRDefault="00A14BA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A14BA0">
        <w:rPr>
          <w:rFonts w:ascii="Times New Roman" w:eastAsia="Times New Roman" w:hAnsi="Times New Roman" w:cs="Times New Roman"/>
          <w:b/>
          <w:sz w:val="28"/>
          <w:szCs w:val="28"/>
          <w:lang w:eastAsia="uk-UA"/>
        </w:rPr>
        <w:t>НРП QD180</w:t>
      </w:r>
      <w:r w:rsidRPr="00A14BA0">
        <w:rPr>
          <w:rFonts w:ascii="Times New Roman" w:eastAsia="Times New Roman" w:hAnsi="Times New Roman" w:cs="Times New Roman"/>
          <w:sz w:val="28"/>
          <w:szCs w:val="28"/>
          <w:lang w:eastAsia="uk-UA"/>
        </w:rPr>
        <w:t xml:space="preserve"> – державна програма кредитування (довідник D180).</w:t>
      </w:r>
    </w:p>
    <w:p w:rsidR="00A14BA0" w:rsidRPr="00310331" w:rsidRDefault="00A14BA0" w:rsidP="006679E4">
      <w:pPr>
        <w:tabs>
          <w:tab w:val="left" w:pos="709"/>
        </w:tabs>
        <w:spacing w:after="120" w:line="240" w:lineRule="auto"/>
        <w:jc w:val="both"/>
        <w:rPr>
          <w:rFonts w:ascii="Times New Roman" w:eastAsia="Times New Roman" w:hAnsi="Times New Roman" w:cs="Times New Roman"/>
          <w:sz w:val="28"/>
          <w:szCs w:val="28"/>
          <w:lang w:eastAsia="uk-UA"/>
        </w:rPr>
      </w:pPr>
      <w:r w:rsidRPr="00310331">
        <w:rPr>
          <w:rFonts w:ascii="Times New Roman" w:eastAsia="Times New Roman" w:hAnsi="Times New Roman" w:cs="Times New Roman"/>
          <w:sz w:val="28"/>
          <w:szCs w:val="28"/>
          <w:lang w:eastAsia="uk-UA"/>
        </w:rPr>
        <w:t>Якщо активу присвоєно два або більше кодів, то коди зазначаються з використанням розділового знака “;”.</w:t>
      </w:r>
    </w:p>
    <w:p w:rsidR="00927DAE" w:rsidRDefault="00580FC9" w:rsidP="006679E4">
      <w:pPr>
        <w:tabs>
          <w:tab w:val="left" w:pos="709"/>
        </w:tabs>
        <w:spacing w:before="120" w:after="12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відповідно до довідника F076.</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Pr="00AE11AA" w:rsidRDefault="005D08C2" w:rsidP="006679E4">
      <w:pPr>
        <w:tabs>
          <w:tab w:val="left" w:pos="709"/>
        </w:tabs>
        <w:spacing w:before="120"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пов</w:t>
      </w:r>
      <w:r w:rsidR="007103E1">
        <w:rPr>
          <w:rFonts w:ascii="Times New Roman" w:eastAsia="Times New Roman" w:hAnsi="Times New Roman" w:cs="Times New Roman"/>
          <w:sz w:val="28"/>
          <w:szCs w:val="28"/>
          <w:lang w:eastAsia="uk-UA"/>
        </w:rPr>
        <w:t>’</w:t>
      </w:r>
      <w:r w:rsidR="00AE11AA" w:rsidRPr="00AE11AA">
        <w:rPr>
          <w:rFonts w:ascii="Times New Roman" w:eastAsia="Times New Roman" w:hAnsi="Times New Roman" w:cs="Times New Roman"/>
          <w:sz w:val="28"/>
          <w:szCs w:val="28"/>
          <w:lang w:eastAsia="uk-UA"/>
        </w:rPr>
        <w:t>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гента</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6679E4">
      <w:pPr>
        <w:tabs>
          <w:tab w:val="left" w:pos="709"/>
        </w:tabs>
        <w:spacing w:before="80" w:after="80" w:line="240" w:lineRule="auto"/>
        <w:ind w:firstLine="709"/>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927DAE"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події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банк не застосував судження щодо того, що немає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НРП Q035 не заповнюється. </w:t>
      </w:r>
    </w:p>
    <w:p w:rsidR="00580FC9" w:rsidRPr="00580FC9" w:rsidRDefault="00580FC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580FC9" w:rsidRPr="00580FC9" w:rsidRDefault="00580FC9"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6229B7" w:rsidRDefault="00580FC9" w:rsidP="006679E4">
      <w:pPr>
        <w:tabs>
          <w:tab w:val="left" w:pos="709"/>
        </w:tabs>
        <w:spacing w:before="120" w:after="120" w:line="240" w:lineRule="auto"/>
        <w:ind w:firstLine="709"/>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A2B55" w:rsidRPr="002B3B5D" w:rsidRDefault="006A2B55"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w:t>
      </w:r>
      <w:r w:rsidRPr="002B3B5D">
        <w:rPr>
          <w:rFonts w:ascii="Times New Roman" w:eastAsia="Times New Roman" w:hAnsi="Times New Roman" w:cs="Times New Roman"/>
          <w:sz w:val="28"/>
          <w:szCs w:val="28"/>
        </w:rPr>
        <w:t xml:space="preserve"> </w:t>
      </w:r>
      <w:r w:rsidR="00E5417A">
        <w:rPr>
          <w:rFonts w:ascii="Times New Roman" w:eastAsia="Times New Roman" w:hAnsi="Times New Roman" w:cs="Times New Roman"/>
          <w:sz w:val="28"/>
          <w:szCs w:val="28"/>
        </w:rPr>
        <w:t>–</w:t>
      </w:r>
      <w:r w:rsidRPr="002B3B5D">
        <w:rPr>
          <w:rFonts w:ascii="Times New Roman" w:eastAsia="Times New Roman" w:hAnsi="Times New Roman" w:cs="Times New Roman"/>
          <w:sz w:val="28"/>
          <w:szCs w:val="28"/>
        </w:rPr>
        <w:t xml:space="preserve"> ідентифікаційний</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пов’язаної з банком особи. Зазначається інформація щодо всіх контрагентів/пов’язаних з банком осіб та договорів, зазначених у файлах 6</w:t>
      </w:r>
      <w:r w:rsidRPr="002B3B5D">
        <w:rPr>
          <w:rFonts w:ascii="Times New Roman" w:eastAsia="Times New Roman" w:hAnsi="Times New Roman" w:cs="Times New Roman"/>
          <w:sz w:val="28"/>
          <w:szCs w:val="28"/>
          <w:lang w:val="en-US"/>
        </w:rPr>
        <w:t>FX</w:t>
      </w:r>
      <w:r w:rsidRPr="002B3B5D">
        <w:rPr>
          <w:rFonts w:ascii="Times New Roman" w:eastAsia="Times New Roman" w:hAnsi="Times New Roman" w:cs="Times New Roman"/>
          <w:sz w:val="28"/>
          <w:szCs w:val="28"/>
          <w:lang w:val="ru-RU"/>
        </w:rPr>
        <w:t xml:space="preserve"> </w:t>
      </w:r>
      <w:r w:rsidRPr="002B3B5D">
        <w:rPr>
          <w:rFonts w:ascii="Times New Roman" w:eastAsia="Times New Roman" w:hAnsi="Times New Roman" w:cs="Times New Roman"/>
          <w:sz w:val="28"/>
          <w:szCs w:val="28"/>
        </w:rPr>
        <w:t>та 6G</w:t>
      </w:r>
      <w:r w:rsidRPr="002B3B5D">
        <w:rPr>
          <w:rFonts w:ascii="Times New Roman" w:eastAsia="Times New Roman" w:hAnsi="Times New Roman" w:cs="Times New Roman"/>
          <w:sz w:val="28"/>
          <w:szCs w:val="28"/>
          <w:lang w:val="en-US"/>
        </w:rPr>
        <w:t>X</w:t>
      </w:r>
      <w:r w:rsidRPr="002B3B5D">
        <w:rPr>
          <w:rFonts w:ascii="Times New Roman" w:eastAsia="Times New Roman" w:hAnsi="Times New Roman" w:cs="Times New Roman"/>
          <w:sz w:val="28"/>
          <w:szCs w:val="28"/>
        </w:rPr>
        <w:t xml:space="preserve"> на звітну дату.</w:t>
      </w:r>
    </w:p>
    <w:p w:rsidR="00580FC9" w:rsidRDefault="00580FC9"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A22B7E">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номера (довідник K021) та є супутнім параметром до НРП K020.</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або наданих банком фінансових зобов’язань щодо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2B2E8C"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6679E4">
      <w:pPr>
        <w:tabs>
          <w:tab w:val="left" w:pos="709"/>
        </w:tabs>
        <w:spacing w:before="80"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B3377"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927DAE" w:rsidRDefault="00580FC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580FC9" w:rsidRDefault="00EE126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87A69" w:rsidRPr="00A0324C" w:rsidRDefault="00487A69" w:rsidP="006679E4">
      <w:pPr>
        <w:pStyle w:val="a3"/>
        <w:tabs>
          <w:tab w:val="left" w:pos="709"/>
        </w:tabs>
        <w:spacing w:before="120" w:after="120" w:line="240" w:lineRule="auto"/>
        <w:ind w:left="1072"/>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2B3B5D">
        <w:rPr>
          <w:rFonts w:ascii="Times New Roman" w:eastAsia="Times New Roman" w:hAnsi="Times New Roman" w:cs="Times New Roman"/>
          <w:b/>
          <w:sz w:val="28"/>
          <w:szCs w:val="28"/>
          <w:u w:val="single"/>
          <w:lang w:eastAsia="uk-UA"/>
        </w:rPr>
        <w:t>Загальні особливості формування</w:t>
      </w:r>
    </w:p>
    <w:p w:rsidR="00927DA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3F5813" w:rsidRDefault="003F5813"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AB0339" w:rsidRPr="002B3B5D" w:rsidRDefault="00AB0339"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Показник з метрикою </w:t>
      </w:r>
      <w:r w:rsidRPr="002B3B5D">
        <w:rPr>
          <w:rFonts w:ascii="Times New Roman" w:eastAsia="Times New Roman" w:hAnsi="Times New Roman" w:cs="Times New Roman"/>
          <w:b/>
          <w:sz w:val="28"/>
          <w:szCs w:val="28"/>
          <w:lang w:val="en-US"/>
        </w:rPr>
        <w:t>T</w:t>
      </w:r>
      <w:r w:rsidRPr="002B3B5D">
        <w:rPr>
          <w:rFonts w:ascii="Times New Roman" w:eastAsia="Times New Roman" w:hAnsi="Times New Roman" w:cs="Times New Roman"/>
          <w:b/>
          <w:sz w:val="28"/>
          <w:szCs w:val="28"/>
        </w:rPr>
        <w:t>090_1</w:t>
      </w:r>
      <w:r w:rsidRPr="002B3B5D">
        <w:rPr>
          <w:rFonts w:ascii="Times New Roman" w:eastAsia="Times New Roman" w:hAnsi="Times New Roman" w:cs="Times New Roman"/>
          <w:sz w:val="28"/>
          <w:szCs w:val="28"/>
        </w:rPr>
        <w:t xml:space="preserve"> − зазначається ефективна процентна ставка за фінансовим інструментом, яка передбачена умовами договору (випуску) на звітну дату. </w:t>
      </w:r>
    </w:p>
    <w:p w:rsidR="00AB0339" w:rsidRPr="002B3B5D" w:rsidRDefault="00AB0339" w:rsidP="006679E4">
      <w:pPr>
        <w:tabs>
          <w:tab w:val="left" w:pos="709"/>
        </w:tabs>
        <w:spacing w:line="240" w:lineRule="auto"/>
        <w:ind w:firstLine="709"/>
        <w:contextualSpacing/>
        <w:jc w:val="both"/>
        <w:rPr>
          <w:rFonts w:ascii="Times New Roman" w:eastAsia="Times New Roman" w:hAnsi="Times New Roman" w:cs="Times New Roman"/>
          <w:sz w:val="28"/>
          <w:szCs w:val="28"/>
          <w:lang w:val="ru-RU"/>
        </w:rPr>
      </w:pPr>
      <w:r w:rsidRPr="002B3B5D">
        <w:rPr>
          <w:rFonts w:ascii="Times New Roman" w:eastAsia="Times New Roman" w:hAnsi="Times New Roman" w:cs="Times New Roman"/>
          <w:sz w:val="28"/>
          <w:szCs w:val="28"/>
        </w:rPr>
        <w:t xml:space="preserve">Щодо заповнення </w:t>
      </w:r>
      <w:r w:rsidR="00CA2F2E">
        <w:rPr>
          <w:rFonts w:ascii="Times New Roman" w:eastAsia="Times New Roman" w:hAnsi="Times New Roman" w:cs="Times New Roman"/>
          <w:sz w:val="28"/>
          <w:szCs w:val="28"/>
          <w:lang w:val="en-US"/>
        </w:rPr>
        <w:t>T</w:t>
      </w:r>
      <w:r w:rsidRPr="002B3B5D">
        <w:rPr>
          <w:rFonts w:ascii="Times New Roman" w:eastAsia="Times New Roman" w:hAnsi="Times New Roman" w:cs="Times New Roman"/>
          <w:sz w:val="28"/>
          <w:szCs w:val="28"/>
          <w:lang w:val="ru-RU"/>
        </w:rPr>
        <w:t xml:space="preserve">090 та </w:t>
      </w:r>
      <w:r w:rsidR="00CA2F2E">
        <w:rPr>
          <w:rFonts w:ascii="Times New Roman" w:eastAsia="Times New Roman" w:hAnsi="Times New Roman" w:cs="Times New Roman"/>
          <w:sz w:val="28"/>
          <w:szCs w:val="28"/>
          <w:lang w:val="en-US"/>
        </w:rPr>
        <w:t>T</w:t>
      </w:r>
      <w:r w:rsidR="00FB2789">
        <w:rPr>
          <w:rFonts w:ascii="Times New Roman" w:eastAsia="Times New Roman" w:hAnsi="Times New Roman" w:cs="Times New Roman"/>
          <w:sz w:val="28"/>
          <w:szCs w:val="28"/>
          <w:lang w:val="ru-RU"/>
        </w:rPr>
        <w:t>0</w:t>
      </w:r>
      <w:r w:rsidRPr="002B3B5D">
        <w:rPr>
          <w:rFonts w:ascii="Times New Roman" w:eastAsia="Times New Roman" w:hAnsi="Times New Roman" w:cs="Times New Roman"/>
          <w:sz w:val="28"/>
          <w:szCs w:val="28"/>
          <w:lang w:val="ru-RU"/>
        </w:rPr>
        <w:t>90_1</w:t>
      </w:r>
      <w:r w:rsidR="00EF1E29" w:rsidRPr="002B3B5D">
        <w:rPr>
          <w:rFonts w:ascii="Times New Roman" w:eastAsia="Times New Roman" w:hAnsi="Times New Roman" w:cs="Times New Roman"/>
          <w:sz w:val="28"/>
          <w:szCs w:val="28"/>
          <w:lang w:val="ru-RU"/>
        </w:rPr>
        <w:t>.</w:t>
      </w:r>
    </w:p>
    <w:p w:rsidR="00AB0339" w:rsidRPr="00AB0339" w:rsidRDefault="00AB0339" w:rsidP="006679E4">
      <w:pPr>
        <w:tabs>
          <w:tab w:val="left" w:pos="709"/>
        </w:tabs>
        <w:spacing w:line="240" w:lineRule="auto"/>
        <w:ind w:firstLine="709"/>
        <w:contextualSpacing/>
        <w:jc w:val="both"/>
        <w:rPr>
          <w:rFonts w:ascii="Times New Roman" w:eastAsia="Times New Roman" w:hAnsi="Times New Roman" w:cs="Times New Roman"/>
          <w:sz w:val="28"/>
          <w:szCs w:val="28"/>
        </w:rPr>
      </w:pPr>
      <w:r w:rsidRPr="00AB0339">
        <w:rPr>
          <w:rFonts w:ascii="Times New Roman" w:eastAsia="Times New Roman" w:hAnsi="Times New Roman" w:cs="Times New Roman"/>
          <w:sz w:val="28"/>
          <w:szCs w:val="28"/>
        </w:rPr>
        <w:t>Якщо умовами договору (випуску) з контрагентом</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 xml:space="preserve">пов’язаною з банком особою передбачено здійснення банком активної операції з використанням кількох валют (параметр R030), то відображається процентна ставка, передбачена умовами договору (випуску), за кожним кодом валюти (параметр R030) на звітну дату. </w:t>
      </w:r>
    </w:p>
    <w:p w:rsidR="00A0325E" w:rsidRPr="00A0325E" w:rsidRDefault="00A0325E" w:rsidP="006679E4">
      <w:pPr>
        <w:tabs>
          <w:tab w:val="left" w:pos="709"/>
        </w:tabs>
        <w:spacing w:line="240" w:lineRule="auto"/>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за різними процентними ставками на звітну дату, </w:t>
      </w:r>
      <w:r w:rsidRPr="00A0325E">
        <w:rPr>
          <w:rFonts w:ascii="Times New Roman" w:hAnsi="Times New Roman" w:cs="Times New Roman"/>
          <w:sz w:val="28"/>
          <w:szCs w:val="28"/>
        </w:rPr>
        <w:t xml:space="preserve">то за метриками T090, T090_1 </w:t>
      </w:r>
      <w:r w:rsidRPr="00A0325E">
        <w:rPr>
          <w:rFonts w:ascii="Times New Roman" w:eastAsia="Times New Roman" w:hAnsi="Times New Roman" w:cs="Times New Roman"/>
          <w:sz w:val="28"/>
          <w:szCs w:val="28"/>
        </w:rPr>
        <w:t xml:space="preserve">відображається середньозважена процентна ставка, розрахована за формулою середньої арифметичної зваженої. </w:t>
      </w:r>
    </w:p>
    <w:p w:rsidR="00A0325E" w:rsidRPr="00A0325E" w:rsidRDefault="00A0325E" w:rsidP="006679E4">
      <w:pPr>
        <w:tabs>
          <w:tab w:val="left" w:pos="709"/>
        </w:tabs>
        <w:spacing w:line="240" w:lineRule="auto"/>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фінансовий інструмент не передбачає нарахування процентів або встановлено платіж за фінансовим інструментом у фіксованій сумі, то за показником зі </w:t>
      </w:r>
      <w:r w:rsidRPr="00A0325E">
        <w:rPr>
          <w:rFonts w:ascii="Times New Roman" w:hAnsi="Times New Roman" w:cs="Times New Roman"/>
          <w:sz w:val="28"/>
          <w:szCs w:val="28"/>
        </w:rPr>
        <w:t>значенням метрик T090, T090_1 повинно бути “0”.</w:t>
      </w:r>
    </w:p>
    <w:p w:rsidR="00981C23" w:rsidRPr="00981C23" w:rsidRDefault="00981C23" w:rsidP="006679E4">
      <w:pPr>
        <w:tabs>
          <w:tab w:val="left" w:pos="709"/>
        </w:tabs>
        <w:spacing w:after="0" w:line="240" w:lineRule="auto"/>
        <w:ind w:firstLine="709"/>
        <w:jc w:val="both"/>
        <w:rPr>
          <w:rFonts w:ascii="Times New Roman" w:hAnsi="Times New Roman" w:cs="Times New Roman"/>
          <w:sz w:val="28"/>
          <w:szCs w:val="28"/>
        </w:rPr>
      </w:pPr>
      <w:r w:rsidRPr="00981C23">
        <w:rPr>
          <w:rFonts w:ascii="Times New Roman" w:hAnsi="Times New Roman" w:cs="Times New Roman"/>
          <w:sz w:val="28"/>
          <w:szCs w:val="28"/>
        </w:rPr>
        <w:t xml:space="preserve">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 </w:t>
      </w:r>
    </w:p>
    <w:p w:rsidR="00981C23" w:rsidRDefault="00981C23" w:rsidP="006679E4">
      <w:pPr>
        <w:tabs>
          <w:tab w:val="left" w:pos="709"/>
        </w:tabs>
        <w:spacing w:after="0" w:line="240" w:lineRule="auto"/>
        <w:ind w:firstLine="709"/>
        <w:jc w:val="both"/>
        <w:rPr>
          <w:rFonts w:ascii="Times New Roman" w:hAnsi="Times New Roman" w:cs="Times New Roman"/>
          <w:sz w:val="28"/>
          <w:szCs w:val="28"/>
        </w:rPr>
      </w:pPr>
      <w:r w:rsidRPr="00981C23">
        <w:rPr>
          <w:rFonts w:ascii="Times New Roman" w:hAnsi="Times New Roman" w:cs="Times New Roman"/>
          <w:sz w:val="28"/>
          <w:szCs w:val="28"/>
        </w:rPr>
        <w:t>Передається ефективна ставка що діяла на звітну дату.</w:t>
      </w:r>
    </w:p>
    <w:p w:rsidR="00A73169" w:rsidRPr="00007728" w:rsidRDefault="00A73169" w:rsidP="00A73169">
      <w:pPr>
        <w:spacing w:after="0"/>
        <w:ind w:firstLine="709"/>
        <w:jc w:val="both"/>
        <w:rPr>
          <w:rFonts w:ascii="Times New Roman" w:hAnsi="Times New Roman" w:cs="Times New Roman"/>
          <w:sz w:val="28"/>
          <w:szCs w:val="28"/>
        </w:rPr>
      </w:pPr>
      <w:r w:rsidRPr="00007728">
        <w:rPr>
          <w:rFonts w:ascii="Times New Roman" w:hAnsi="Times New Roman" w:cs="Times New Roman"/>
          <w:sz w:val="28"/>
          <w:szCs w:val="28"/>
        </w:rPr>
        <w:t>Якщо фінансовий інструмент не має ефективної ставки відсотка, зазначається номінальна процентна ставка. Якщо немає номінальної процентної ставки – ринкова ставка.</w:t>
      </w:r>
    </w:p>
    <w:p w:rsidR="00A73169" w:rsidRPr="00981C23" w:rsidRDefault="00A73169" w:rsidP="006679E4">
      <w:pPr>
        <w:tabs>
          <w:tab w:val="left" w:pos="709"/>
        </w:tabs>
        <w:spacing w:after="0" w:line="240" w:lineRule="auto"/>
        <w:ind w:firstLine="709"/>
        <w:jc w:val="both"/>
        <w:rPr>
          <w:rFonts w:ascii="Times New Roman" w:hAnsi="Times New Roman" w:cs="Times New Roman"/>
          <w:sz w:val="28"/>
          <w:szCs w:val="28"/>
        </w:rPr>
      </w:pPr>
    </w:p>
    <w:p w:rsidR="00927DAE" w:rsidRDefault="00A22B7E"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 xml:space="preserve">пов’язаною з банком особою своїх зобов’язань. Визначається згідно з вимогами Положення № 351. </w:t>
      </w:r>
    </w:p>
    <w:p w:rsidR="00927DA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927DAE" w:rsidRDefault="00A22B7E"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927DAE" w:rsidRDefault="00A22B7E"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пов</w:t>
      </w:r>
      <w:r w:rsidR="00E5417A">
        <w:rPr>
          <w:rFonts w:ascii="Times New Roman" w:eastAsia="Times New Roman" w:hAnsi="Times New Roman" w:cs="Times New Roman"/>
          <w:sz w:val="28"/>
          <w:szCs w:val="28"/>
          <w:lang w:eastAsia="uk-UA"/>
        </w:rPr>
        <w:t>’</w:t>
      </w:r>
      <w:r w:rsidRPr="00A22B7E">
        <w:rPr>
          <w:rFonts w:ascii="Times New Roman" w:eastAsia="Times New Roman" w:hAnsi="Times New Roman" w:cs="Times New Roman"/>
          <w:sz w:val="28"/>
          <w:szCs w:val="28"/>
          <w:lang w:eastAsia="uk-UA"/>
        </w:rPr>
        <w:t>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r w:rsidR="004D34F4">
        <w:rPr>
          <w:rFonts w:ascii="Times New Roman" w:eastAsia="Times New Roman" w:hAnsi="Times New Roman" w:cs="Times New Roman"/>
          <w:sz w:val="28"/>
          <w:szCs w:val="28"/>
          <w:lang w:eastAsia="uk-UA"/>
        </w:rPr>
        <w:t>зобов’язаннями</w:t>
      </w:r>
      <w:r>
        <w:rPr>
          <w:rFonts w:ascii="Times New Roman" w:eastAsia="Times New Roman" w:hAnsi="Times New Roman" w:cs="Times New Roman"/>
          <w:sz w:val="28"/>
          <w:szCs w:val="28"/>
          <w:lang w:eastAsia="uk-UA"/>
        </w:rPr>
        <w:t>.</w:t>
      </w:r>
    </w:p>
    <w:p w:rsidR="00927DAE" w:rsidRDefault="00A22B7E"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679E4">
      <w:pPr>
        <w:tabs>
          <w:tab w:val="left" w:pos="709"/>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Default="00BD46CE" w:rsidP="006679E4">
      <w:pPr>
        <w:tabs>
          <w:tab w:val="left" w:pos="709"/>
        </w:tabs>
        <w:spacing w:after="0" w:line="240" w:lineRule="auto"/>
        <w:jc w:val="center"/>
        <w:rPr>
          <w:rFonts w:ascii="Times New Roman" w:eastAsia="Times New Roman" w:hAnsi="Times New Roman" w:cs="Times New Roman"/>
          <w:b/>
          <w:sz w:val="28"/>
          <w:szCs w:val="28"/>
          <w:u w:val="single"/>
          <w:lang w:val="ru-RU" w:eastAsia="uk-UA"/>
        </w:rPr>
      </w:pPr>
    </w:p>
    <w:p w:rsidR="00F60BD8" w:rsidRPr="00862872" w:rsidRDefault="00F60BD8" w:rsidP="006679E4">
      <w:pPr>
        <w:tabs>
          <w:tab w:val="left" w:pos="709"/>
        </w:tabs>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6679E4">
      <w:pPr>
        <w:tabs>
          <w:tab w:val="left" w:pos="709"/>
        </w:tabs>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Default="005E2A44" w:rsidP="006679E4">
      <w:pPr>
        <w:tabs>
          <w:tab w:val="left" w:pos="709"/>
        </w:tabs>
        <w:spacing w:before="120"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5A5F76">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5E2A44" w:rsidRPr="00321F95" w:rsidRDefault="005E2A44"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580FC9" w:rsidRDefault="005E2A44"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5E2A44" w:rsidRPr="005E2A44" w:rsidRDefault="005E2A44"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00AA0423"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351993" w:rsidRPr="005E2A44" w:rsidRDefault="00A85FA4" w:rsidP="006679E4">
      <w:pPr>
        <w:tabs>
          <w:tab w:val="left" w:pos="567"/>
          <w:tab w:val="left" w:pos="709"/>
        </w:tabs>
        <w:spacing w:before="120" w:after="0" w:line="240" w:lineRule="auto"/>
        <w:ind w:firstLine="595"/>
        <w:jc w:val="both"/>
        <w:rPr>
          <w:rFonts w:ascii="Times New Roman" w:eastAsia="Times New Roman" w:hAnsi="Times New Roman" w:cs="Times New Roman"/>
          <w:sz w:val="28"/>
          <w:szCs w:val="28"/>
          <w:lang w:eastAsia="uk-UA"/>
        </w:rPr>
      </w:pPr>
      <w:r w:rsidRPr="00A85FA4">
        <w:rPr>
          <w:rFonts w:ascii="Times New Roman" w:hAnsi="Times New Roman" w:cs="Times New Roman"/>
          <w:bCs/>
          <w:sz w:val="28"/>
          <w:szCs w:val="28"/>
          <w:lang w:eastAsia="ru-RU"/>
        </w:rPr>
        <w:t xml:space="preserve"> </w:t>
      </w:r>
      <w:r w:rsidR="005E2A44"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005E2A44" w:rsidRPr="005E2A44">
        <w:rPr>
          <w:rFonts w:ascii="Times New Roman" w:eastAsia="Times New Roman" w:hAnsi="Times New Roman" w:cs="Times New Roman"/>
          <w:b/>
          <w:sz w:val="28"/>
          <w:szCs w:val="28"/>
          <w:lang w:eastAsia="uk-UA"/>
        </w:rPr>
        <w:t>араметр K021</w:t>
      </w:r>
      <w:r w:rsidR="005E2A44" w:rsidRPr="005E2A44">
        <w:rPr>
          <w:rFonts w:ascii="Times New Roman" w:eastAsia="Times New Roman" w:hAnsi="Times New Roman" w:cs="Times New Roman"/>
          <w:sz w:val="28"/>
          <w:szCs w:val="28"/>
          <w:lang w:eastAsia="uk-UA"/>
        </w:rPr>
        <w:t xml:space="preserve"> </w:t>
      </w:r>
      <w:r w:rsidR="005E2A44">
        <w:rPr>
          <w:rFonts w:ascii="Times New Roman" w:eastAsia="Times New Roman" w:hAnsi="Times New Roman" w:cs="Times New Roman"/>
          <w:sz w:val="28"/>
          <w:szCs w:val="28"/>
          <w:lang w:eastAsia="uk-UA"/>
        </w:rPr>
        <w:t>–</w:t>
      </w:r>
      <w:r w:rsidR="005E2A44" w:rsidRPr="00351993">
        <w:rPr>
          <w:rFonts w:ascii="Times New Roman" w:eastAsia="Times New Roman" w:hAnsi="Times New Roman" w:cs="Times New Roman"/>
          <w:sz w:val="28"/>
          <w:szCs w:val="28"/>
          <w:lang w:eastAsia="uk-UA"/>
        </w:rPr>
        <w:t xml:space="preserve"> </w:t>
      </w:r>
      <w:r w:rsidR="005E2A44"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005E2A44"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5E2A44"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E060F3" w:rsidRPr="00AF3090" w:rsidRDefault="005E2A44" w:rsidP="006679E4">
      <w:pPr>
        <w:tabs>
          <w:tab w:val="left" w:pos="709"/>
        </w:tabs>
        <w:spacing w:before="120" w:after="12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DB0DB8" w:rsidRDefault="005E2A44"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580FC9" w:rsidRDefault="005E2A44"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Pr="005E2A44" w:rsidRDefault="005E2A44"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5E2A44" w:rsidRPr="005E2A44" w:rsidRDefault="005E2A44"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5E2A44" w:rsidRDefault="005E2A44" w:rsidP="006679E4">
      <w:pPr>
        <w:tabs>
          <w:tab w:val="left" w:pos="567"/>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C506B3" w:rsidRPr="00AF3090" w:rsidRDefault="005E2A44" w:rsidP="006679E4">
      <w:pPr>
        <w:tabs>
          <w:tab w:val="left" w:pos="709"/>
        </w:tabs>
        <w:spacing w:before="120" w:after="12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3C41A1" w:rsidRDefault="005E2A44" w:rsidP="006679E4">
      <w:pPr>
        <w:tabs>
          <w:tab w:val="left" w:pos="709"/>
        </w:tabs>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F3090" w:rsidP="006679E4">
      <w:pPr>
        <w:tabs>
          <w:tab w:val="left" w:pos="567"/>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D75BE1" w:rsidRDefault="00D75BE1"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6679E4">
      <w:pPr>
        <w:pStyle w:val="a3"/>
        <w:tabs>
          <w:tab w:val="left" w:pos="709"/>
        </w:tabs>
        <w:spacing w:after="120" w:line="240" w:lineRule="auto"/>
        <w:ind w:left="1072"/>
        <w:contextualSpacing w:val="0"/>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041D0F"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6679E4">
      <w:pPr>
        <w:tabs>
          <w:tab w:val="left" w:pos="709"/>
        </w:tabs>
        <w:spacing w:before="120"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85FA4" w:rsidP="006679E4">
      <w:pPr>
        <w:tabs>
          <w:tab w:val="left" w:pos="567"/>
          <w:tab w:val="left" w:pos="709"/>
        </w:tabs>
        <w:spacing w:before="120" w:after="0" w:line="240" w:lineRule="auto"/>
        <w:ind w:firstLine="595"/>
        <w:jc w:val="both"/>
        <w:rPr>
          <w:rFonts w:ascii="Times New Roman" w:eastAsia="Times New Roman" w:hAnsi="Times New Roman" w:cs="Times New Roman"/>
          <w:sz w:val="28"/>
          <w:szCs w:val="28"/>
          <w:lang w:eastAsia="uk-UA"/>
        </w:rPr>
      </w:pPr>
      <w:r w:rsidRPr="00A85FA4">
        <w:rPr>
          <w:rFonts w:ascii="Times New Roman" w:hAnsi="Times New Roman" w:cs="Times New Roman"/>
          <w:bCs/>
          <w:sz w:val="28"/>
          <w:szCs w:val="28"/>
          <w:lang w:eastAsia="ru-RU"/>
        </w:rPr>
        <w:t xml:space="preserve"> </w:t>
      </w:r>
      <w:r w:rsidR="00AF3090"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00AF3090" w:rsidRPr="005E2A44">
        <w:rPr>
          <w:rFonts w:ascii="Times New Roman" w:eastAsia="Times New Roman" w:hAnsi="Times New Roman" w:cs="Times New Roman"/>
          <w:b/>
          <w:sz w:val="28"/>
          <w:szCs w:val="28"/>
          <w:lang w:eastAsia="uk-UA"/>
        </w:rPr>
        <w:t>араметр K021</w:t>
      </w:r>
      <w:r w:rsidR="00AF3090" w:rsidRPr="005E2A44">
        <w:rPr>
          <w:rFonts w:ascii="Times New Roman" w:eastAsia="Times New Roman" w:hAnsi="Times New Roman" w:cs="Times New Roman"/>
          <w:sz w:val="28"/>
          <w:szCs w:val="28"/>
          <w:lang w:eastAsia="uk-UA"/>
        </w:rPr>
        <w:t xml:space="preserve"> </w:t>
      </w:r>
      <w:r w:rsidR="00AF3090">
        <w:rPr>
          <w:rFonts w:ascii="Times New Roman" w:eastAsia="Times New Roman" w:hAnsi="Times New Roman" w:cs="Times New Roman"/>
          <w:sz w:val="28"/>
          <w:szCs w:val="28"/>
          <w:lang w:eastAsia="uk-UA"/>
        </w:rPr>
        <w:t>–</w:t>
      </w:r>
      <w:r w:rsidR="00AF3090" w:rsidRPr="00351993">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8F257B" w:rsidRPr="001B64C8" w:rsidRDefault="008F257B" w:rsidP="006679E4">
      <w:pPr>
        <w:tabs>
          <w:tab w:val="left" w:pos="709"/>
        </w:tabs>
        <w:spacing w:after="0" w:line="240" w:lineRule="auto"/>
        <w:ind w:firstLine="709"/>
        <w:jc w:val="both"/>
        <w:rPr>
          <w:rFonts w:ascii="Times New Roman" w:hAnsi="Times New Roman" w:cs="Times New Roman"/>
          <w:sz w:val="28"/>
          <w:szCs w:val="28"/>
          <w:lang w:eastAsia="ru-RU"/>
        </w:rPr>
      </w:pPr>
    </w:p>
    <w:p w:rsidR="00D26930" w:rsidRPr="00AF3090" w:rsidRDefault="00AF3090" w:rsidP="006679E4">
      <w:pPr>
        <w:tabs>
          <w:tab w:val="left" w:pos="709"/>
        </w:tabs>
        <w:spacing w:after="12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D2693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before="120"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00C223AC"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85FA4" w:rsidP="006679E4">
      <w:pPr>
        <w:tabs>
          <w:tab w:val="left" w:pos="567"/>
          <w:tab w:val="left" w:pos="709"/>
        </w:tabs>
        <w:spacing w:before="120" w:after="120" w:line="240" w:lineRule="auto"/>
        <w:ind w:firstLine="595"/>
        <w:jc w:val="both"/>
        <w:rPr>
          <w:rFonts w:ascii="Times New Roman" w:eastAsia="Times New Roman" w:hAnsi="Times New Roman" w:cs="Times New Roman"/>
          <w:sz w:val="28"/>
          <w:szCs w:val="28"/>
          <w:lang w:eastAsia="uk-UA"/>
        </w:rPr>
      </w:pPr>
      <w:r w:rsidRPr="00A85FA4">
        <w:rPr>
          <w:rFonts w:ascii="Times New Roman" w:hAnsi="Times New Roman" w:cs="Times New Roman"/>
          <w:bCs/>
          <w:sz w:val="28"/>
          <w:szCs w:val="28"/>
          <w:lang w:eastAsia="ru-RU"/>
        </w:rPr>
        <w:t xml:space="preserve"> </w:t>
      </w:r>
      <w:r w:rsidR="00AF3090"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00AF3090" w:rsidRPr="005E2A44">
        <w:rPr>
          <w:rFonts w:ascii="Times New Roman" w:eastAsia="Times New Roman" w:hAnsi="Times New Roman" w:cs="Times New Roman"/>
          <w:b/>
          <w:sz w:val="28"/>
          <w:szCs w:val="28"/>
          <w:lang w:eastAsia="uk-UA"/>
        </w:rPr>
        <w:t>араметр K021</w:t>
      </w:r>
      <w:r w:rsidR="00AF3090" w:rsidRPr="005E2A44">
        <w:rPr>
          <w:rFonts w:ascii="Times New Roman" w:eastAsia="Times New Roman" w:hAnsi="Times New Roman" w:cs="Times New Roman"/>
          <w:sz w:val="28"/>
          <w:szCs w:val="28"/>
          <w:lang w:eastAsia="uk-UA"/>
        </w:rPr>
        <w:t xml:space="preserve"> </w:t>
      </w:r>
      <w:r w:rsidR="00AF3090">
        <w:rPr>
          <w:rFonts w:ascii="Times New Roman" w:eastAsia="Times New Roman" w:hAnsi="Times New Roman" w:cs="Times New Roman"/>
          <w:sz w:val="28"/>
          <w:szCs w:val="28"/>
          <w:lang w:eastAsia="uk-UA"/>
        </w:rPr>
        <w:t>–</w:t>
      </w:r>
      <w:r w:rsidR="00AF3090" w:rsidRPr="00351993">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6679E4">
      <w:pPr>
        <w:tabs>
          <w:tab w:val="left" w:pos="709"/>
        </w:tabs>
        <w:spacing w:after="0" w:line="240" w:lineRule="auto"/>
        <w:ind w:firstLine="709"/>
        <w:jc w:val="both"/>
        <w:rPr>
          <w:rFonts w:ascii="Times New Roman" w:hAnsi="Times New Roman" w:cs="Times New Roman"/>
          <w:sz w:val="28"/>
          <w:szCs w:val="28"/>
          <w:lang w:eastAsia="ru-RU"/>
        </w:rPr>
      </w:pPr>
    </w:p>
    <w:p w:rsidR="00AF3090" w:rsidRPr="00AF3090" w:rsidRDefault="00AF3090"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FE7B55"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7B2593"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F3090" w:rsidP="00F60BD8">
      <w:pPr>
        <w:tabs>
          <w:tab w:val="left" w:pos="567"/>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A85FA4" w:rsidRDefault="00A85FA4" w:rsidP="006679E4">
      <w:pPr>
        <w:tabs>
          <w:tab w:val="left" w:pos="709"/>
        </w:tabs>
        <w:spacing w:after="0" w:line="240" w:lineRule="auto"/>
        <w:ind w:left="709"/>
        <w:jc w:val="center"/>
        <w:rPr>
          <w:rFonts w:ascii="Times New Roman" w:eastAsia="Times New Roman" w:hAnsi="Times New Roman" w:cs="Times New Roman"/>
          <w:b/>
          <w:sz w:val="28"/>
          <w:szCs w:val="28"/>
          <w:u w:val="single"/>
          <w:lang w:val="ru-RU" w:eastAsia="uk-UA"/>
        </w:rPr>
      </w:pPr>
    </w:p>
    <w:p w:rsidR="00AF3090" w:rsidRPr="00AF3090" w:rsidRDefault="00AF3090"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F3090" w:rsidP="00F60BD8">
      <w:pPr>
        <w:tabs>
          <w:tab w:val="left" w:pos="567"/>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6679E4">
      <w:pPr>
        <w:tabs>
          <w:tab w:val="left" w:pos="709"/>
        </w:tabs>
        <w:spacing w:after="0" w:line="240" w:lineRule="auto"/>
        <w:ind w:firstLine="709"/>
        <w:jc w:val="both"/>
        <w:rPr>
          <w:rFonts w:ascii="Times New Roman" w:hAnsi="Times New Roman" w:cs="Times New Roman"/>
          <w:sz w:val="28"/>
          <w:szCs w:val="28"/>
          <w:lang w:eastAsia="ru-RU"/>
        </w:rPr>
      </w:pPr>
    </w:p>
    <w:p w:rsidR="00AF3090" w:rsidRPr="00AF3090" w:rsidRDefault="00AF3090"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580FC9" w:rsidRDefault="00AF3090"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C21854" w:rsidRDefault="00D85D85"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F3090" w:rsidRPr="005E2A44" w:rsidRDefault="00A85FA4" w:rsidP="006679E4">
      <w:pPr>
        <w:tabs>
          <w:tab w:val="left" w:pos="567"/>
          <w:tab w:val="left" w:pos="709"/>
        </w:tabs>
        <w:spacing w:before="120" w:after="0" w:line="240" w:lineRule="auto"/>
        <w:ind w:firstLine="595"/>
        <w:jc w:val="both"/>
        <w:rPr>
          <w:rFonts w:ascii="Times New Roman" w:eastAsia="Times New Roman" w:hAnsi="Times New Roman" w:cs="Times New Roman"/>
          <w:sz w:val="28"/>
          <w:szCs w:val="28"/>
          <w:lang w:eastAsia="uk-UA"/>
        </w:rPr>
      </w:pPr>
      <w:r w:rsidRPr="00A85FA4">
        <w:rPr>
          <w:rFonts w:ascii="Times New Roman" w:hAnsi="Times New Roman" w:cs="Times New Roman"/>
          <w:bCs/>
          <w:sz w:val="28"/>
          <w:szCs w:val="28"/>
          <w:lang w:eastAsia="ru-RU"/>
        </w:rPr>
        <w:t xml:space="preserve"> </w:t>
      </w:r>
      <w:r w:rsidR="00AF3090"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00AF3090" w:rsidRPr="005E2A44">
        <w:rPr>
          <w:rFonts w:ascii="Times New Roman" w:eastAsia="Times New Roman" w:hAnsi="Times New Roman" w:cs="Times New Roman"/>
          <w:b/>
          <w:sz w:val="28"/>
          <w:szCs w:val="28"/>
          <w:lang w:eastAsia="uk-UA"/>
        </w:rPr>
        <w:t>араметр K021</w:t>
      </w:r>
      <w:r w:rsidR="00AF3090" w:rsidRPr="005E2A44">
        <w:rPr>
          <w:rFonts w:ascii="Times New Roman" w:eastAsia="Times New Roman" w:hAnsi="Times New Roman" w:cs="Times New Roman"/>
          <w:sz w:val="28"/>
          <w:szCs w:val="28"/>
          <w:lang w:eastAsia="uk-UA"/>
        </w:rPr>
        <w:t xml:space="preserve"> </w:t>
      </w:r>
      <w:r w:rsidR="00AF3090">
        <w:rPr>
          <w:rFonts w:ascii="Times New Roman" w:eastAsia="Times New Roman" w:hAnsi="Times New Roman" w:cs="Times New Roman"/>
          <w:sz w:val="28"/>
          <w:szCs w:val="28"/>
          <w:lang w:eastAsia="uk-UA"/>
        </w:rPr>
        <w:t>–</w:t>
      </w:r>
      <w:r w:rsidR="00AF3090" w:rsidRPr="00351993">
        <w:rPr>
          <w:rFonts w:ascii="Times New Roman" w:eastAsia="Times New Roman" w:hAnsi="Times New Roman" w:cs="Times New Roman"/>
          <w:sz w:val="28"/>
          <w:szCs w:val="28"/>
          <w:lang w:eastAsia="uk-UA"/>
        </w:rPr>
        <w:t xml:space="preserve"> </w:t>
      </w:r>
      <w:r w:rsidR="00AF3090"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6679E4">
      <w:pPr>
        <w:tabs>
          <w:tab w:val="left" w:pos="709"/>
        </w:tabs>
        <w:spacing w:after="0" w:line="240" w:lineRule="auto"/>
        <w:ind w:firstLine="709"/>
        <w:jc w:val="both"/>
        <w:rPr>
          <w:rFonts w:ascii="Times New Roman" w:hAnsi="Times New Roman" w:cs="Times New Roman"/>
          <w:sz w:val="28"/>
          <w:szCs w:val="28"/>
          <w:lang w:eastAsia="ru-RU"/>
        </w:rPr>
      </w:pPr>
    </w:p>
    <w:p w:rsidR="00AF3090" w:rsidRPr="00AF3090" w:rsidRDefault="00AF3090"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Default="00AF3090"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580FC9" w:rsidRDefault="00D43678"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Pr="005E2A44" w:rsidRDefault="00D43678"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Pr="005E2A44" w:rsidRDefault="00D43678"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5E2A44" w:rsidRDefault="00D43678"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Pr="005E2A44" w:rsidRDefault="00D4367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C21854" w:rsidRDefault="00D85D85"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D43678" w:rsidRPr="005E2A44" w:rsidRDefault="00D43678"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Pr="005E2A44" w:rsidRDefault="00D43678"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D43678" w:rsidRPr="005E2A44" w:rsidRDefault="00D43678" w:rsidP="006679E4">
      <w:pPr>
        <w:tabs>
          <w:tab w:val="left" w:pos="567"/>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D43678" w:rsidRPr="001B64C8" w:rsidRDefault="00D43678" w:rsidP="006679E4">
      <w:pPr>
        <w:tabs>
          <w:tab w:val="left" w:pos="709"/>
        </w:tabs>
        <w:spacing w:after="0" w:line="240" w:lineRule="auto"/>
        <w:ind w:firstLine="709"/>
        <w:jc w:val="both"/>
        <w:rPr>
          <w:rFonts w:ascii="Times New Roman" w:hAnsi="Times New Roman" w:cs="Times New Roman"/>
          <w:sz w:val="28"/>
          <w:szCs w:val="28"/>
          <w:lang w:eastAsia="ru-RU"/>
        </w:rPr>
      </w:pPr>
    </w:p>
    <w:p w:rsidR="00D43678" w:rsidRPr="00AF3090" w:rsidRDefault="00D43678"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Pr="005E2A44"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C21854" w:rsidRDefault="00D85D85"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C21854" w:rsidRDefault="00640D8C" w:rsidP="006679E4">
      <w:pPr>
        <w:tabs>
          <w:tab w:val="left" w:pos="567"/>
          <w:tab w:val="left" w:pos="709"/>
        </w:tabs>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C21854">
        <w:rPr>
          <w:rFonts w:ascii="Times New Roman" w:eastAsia="Times New Roman" w:hAnsi="Times New Roman" w:cs="Times New Roman"/>
          <w:b/>
          <w:sz w:val="28"/>
          <w:szCs w:val="28"/>
          <w:lang w:eastAsia="uk-UA"/>
        </w:rPr>
        <w:t>араметр K021</w:t>
      </w:r>
      <w:r w:rsidRPr="00C21854">
        <w:rPr>
          <w:rFonts w:ascii="Times New Roman" w:eastAsia="Times New Roman" w:hAnsi="Times New Roman" w:cs="Times New Roman"/>
          <w:sz w:val="28"/>
          <w:szCs w:val="28"/>
          <w:lang w:eastAsia="uk-UA"/>
        </w:rPr>
        <w:t xml:space="preserve"> – код ознаки ідентифікаційного/реєстраційного коду/номера (довідник K021) та є супутнім параметром до НРП K020.</w:t>
      </w:r>
    </w:p>
    <w:p w:rsidR="00640D8C" w:rsidRPr="00C21854" w:rsidRDefault="00640D8C" w:rsidP="006679E4">
      <w:pPr>
        <w:tabs>
          <w:tab w:val="left" w:pos="709"/>
        </w:tabs>
        <w:spacing w:after="0" w:line="240" w:lineRule="auto"/>
        <w:ind w:firstLine="709"/>
        <w:jc w:val="both"/>
        <w:rPr>
          <w:rFonts w:ascii="Times New Roman" w:hAnsi="Times New Roman" w:cs="Times New Roman"/>
          <w:sz w:val="28"/>
          <w:szCs w:val="28"/>
          <w:lang w:eastAsia="ru-RU"/>
        </w:rPr>
      </w:pPr>
    </w:p>
    <w:p w:rsidR="00640D8C" w:rsidRPr="00C21854" w:rsidRDefault="00640D8C"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u w:val="single"/>
          <w:lang w:val="ru-RU" w:eastAsia="uk-UA"/>
        </w:rPr>
        <w:t xml:space="preserve">2. </w:t>
      </w:r>
      <w:r w:rsidRPr="00C21854">
        <w:rPr>
          <w:rFonts w:ascii="Times New Roman" w:eastAsia="Times New Roman" w:hAnsi="Times New Roman" w:cs="Times New Roman"/>
          <w:b/>
          <w:sz w:val="28"/>
          <w:szCs w:val="28"/>
          <w:u w:val="single"/>
          <w:lang w:eastAsia="uk-UA"/>
        </w:rPr>
        <w:t>Загальні особливості формування</w:t>
      </w:r>
    </w:p>
    <w:p w:rsidR="00640D8C" w:rsidRPr="009201A2"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C21854" w:rsidRDefault="00D85D85"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C2185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 xml:space="preserve">пов’язаних з банком осіб, договорів, валют та траншів, зазначених у </w:t>
      </w:r>
      <w:r w:rsidRPr="00C21854">
        <w:rPr>
          <w:rFonts w:ascii="Times New Roman" w:eastAsia="Times New Roman" w:hAnsi="Times New Roman" w:cs="Times New Roman"/>
          <w:sz w:val="28"/>
          <w:szCs w:val="28"/>
        </w:rPr>
        <w:t>файлах 6FX, 6GX та 6HX на звітну дату.</w:t>
      </w:r>
    </w:p>
    <w:p w:rsidR="00640D8C" w:rsidRPr="005E2A44" w:rsidRDefault="00640D8C" w:rsidP="006679E4">
      <w:pPr>
        <w:tabs>
          <w:tab w:val="left" w:pos="567"/>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Pr="001B64C8" w:rsidRDefault="00640D8C" w:rsidP="006679E4">
      <w:pPr>
        <w:tabs>
          <w:tab w:val="left" w:pos="709"/>
        </w:tabs>
        <w:spacing w:after="0" w:line="240" w:lineRule="auto"/>
        <w:ind w:firstLine="709"/>
        <w:jc w:val="both"/>
        <w:rPr>
          <w:rFonts w:ascii="Times New Roman" w:hAnsi="Times New Roman" w:cs="Times New Roman"/>
          <w:sz w:val="28"/>
          <w:szCs w:val="28"/>
          <w:lang w:eastAsia="ru-RU"/>
        </w:rPr>
      </w:pPr>
    </w:p>
    <w:p w:rsidR="00640D8C" w:rsidRPr="00AF3090" w:rsidRDefault="00640D8C" w:rsidP="006679E4">
      <w:pPr>
        <w:tabs>
          <w:tab w:val="left" w:pos="709"/>
        </w:tabs>
        <w:spacing w:after="12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00F60BD8">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Pr="00C21854" w:rsidRDefault="00A74E4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5E2A44" w:rsidRDefault="00640D8C" w:rsidP="006679E4">
      <w:pPr>
        <w:tabs>
          <w:tab w:val="left" w:pos="567"/>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679E4">
      <w:pPr>
        <w:tabs>
          <w:tab w:val="left" w:pos="709"/>
        </w:tabs>
        <w:spacing w:after="0" w:line="240" w:lineRule="auto"/>
        <w:ind w:firstLine="709"/>
        <w:jc w:val="both"/>
        <w:rPr>
          <w:rFonts w:ascii="Times New Roman" w:hAnsi="Times New Roman" w:cs="Times New Roman"/>
          <w:sz w:val="28"/>
          <w:szCs w:val="28"/>
          <w:lang w:eastAsia="ru-RU"/>
        </w:rPr>
      </w:pPr>
    </w:p>
    <w:p w:rsidR="00640D8C" w:rsidRPr="00AF3090" w:rsidRDefault="00640D8C"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Pr="00C21854" w:rsidRDefault="00A74E49"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83D35"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4011E" w:rsidRPr="00983D35"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4011E" w:rsidRPr="00983D35" w:rsidRDefault="0094011E" w:rsidP="006679E4">
      <w:pPr>
        <w:tabs>
          <w:tab w:val="left" w:pos="709"/>
        </w:tabs>
        <w:spacing w:line="240" w:lineRule="auto"/>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5E2A44"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5E2A44" w:rsidRDefault="00640D8C" w:rsidP="006679E4">
      <w:pPr>
        <w:tabs>
          <w:tab w:val="left" w:pos="567"/>
          <w:tab w:val="left" w:pos="709"/>
        </w:tabs>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640D8C" w:rsidRPr="001B64C8" w:rsidRDefault="00640D8C" w:rsidP="006679E4">
      <w:pPr>
        <w:tabs>
          <w:tab w:val="left" w:pos="709"/>
        </w:tabs>
        <w:spacing w:after="0" w:line="240" w:lineRule="auto"/>
        <w:ind w:firstLine="709"/>
        <w:jc w:val="both"/>
        <w:rPr>
          <w:rFonts w:ascii="Times New Roman" w:hAnsi="Times New Roman" w:cs="Times New Roman"/>
          <w:sz w:val="28"/>
          <w:szCs w:val="28"/>
          <w:lang w:eastAsia="ru-RU"/>
        </w:rPr>
      </w:pPr>
    </w:p>
    <w:p w:rsidR="00640D8C" w:rsidRPr="00AF3090" w:rsidRDefault="00640D8C" w:rsidP="006679E4">
      <w:pPr>
        <w:tabs>
          <w:tab w:val="left" w:pos="709"/>
        </w:tabs>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21780B"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за кредитною операцією не відповідає критеріям та принципам прийнятності згідно з Положенням № 351, то зазначається код</w:t>
      </w:r>
      <w:r w:rsidR="00750662" w:rsidRPr="00750662">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Pr="00C21854" w:rsidRDefault="00A74E4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D70791"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Pr="00057C63"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640D8C" w:rsidRDefault="00640D8C" w:rsidP="006679E4">
      <w:pPr>
        <w:tabs>
          <w:tab w:val="left" w:pos="567"/>
          <w:tab w:val="left" w:pos="709"/>
        </w:tabs>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Default="00640D8C" w:rsidP="006679E4">
      <w:pPr>
        <w:tabs>
          <w:tab w:val="left" w:pos="709"/>
        </w:tabs>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21780B" w:rsidRPr="001F6E30"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21780B" w:rsidRPr="0057436E"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Pr="00C21854" w:rsidRDefault="00A74E4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640D8C"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640D8C"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679E4">
      <w:pPr>
        <w:tabs>
          <w:tab w:val="left" w:pos="709"/>
        </w:tabs>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679E4">
      <w:pPr>
        <w:tabs>
          <w:tab w:val="left" w:pos="709"/>
        </w:tabs>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21854">
        <w:rPr>
          <w:rFonts w:ascii="Times New Roman" w:eastAsia="Times New Roman" w:hAnsi="Times New Roman" w:cs="Times New Roman"/>
          <w:b/>
          <w:sz w:val="28"/>
          <w:szCs w:val="28"/>
          <w:u w:val="single"/>
          <w:lang w:eastAsia="uk-UA"/>
        </w:rPr>
        <w:t>Загальні особливості формування</w:t>
      </w:r>
    </w:p>
    <w:p w:rsidR="001F6E30" w:rsidRPr="001F6E30" w:rsidRDefault="00640D8C"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8B47ED" w:rsidRPr="00557E6E" w:rsidRDefault="008B47ED" w:rsidP="008B47ED">
      <w:pPr>
        <w:spacing w:after="0"/>
        <w:ind w:firstLine="709"/>
        <w:jc w:val="both"/>
        <w:rPr>
          <w:rFonts w:ascii="Times New Roman" w:eastAsia="Times New Roman" w:hAnsi="Times New Roman" w:cs="Times New Roman"/>
          <w:sz w:val="28"/>
          <w:szCs w:val="28"/>
          <w:lang w:eastAsia="uk-UA"/>
        </w:rPr>
      </w:pPr>
      <w:r w:rsidRPr="00557E6E">
        <w:rPr>
          <w:rFonts w:ascii="Times New Roman" w:eastAsia="Times New Roman" w:hAnsi="Times New Roman" w:cs="Times New Roman"/>
          <w:sz w:val="28"/>
          <w:szCs w:val="28"/>
          <w:lang w:eastAsia="uk-UA"/>
        </w:rPr>
        <w:t>Інформація за показником A6I015 подається у разі здійснення розрахунку кредитного ризику за активом  на індивідуальній основі.</w:t>
      </w:r>
    </w:p>
    <w:p w:rsidR="00640D8C" w:rsidRDefault="001F6E30"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w:t>
      </w:r>
      <w:r w:rsidR="000E3A41">
        <w:rPr>
          <w:rFonts w:ascii="Times New Roman" w:eastAsia="Times New Roman" w:hAnsi="Times New Roman" w:cs="Times New Roman"/>
          <w:sz w:val="28"/>
          <w:szCs w:val="28"/>
          <w:lang w:eastAsia="uk-UA"/>
        </w:rPr>
        <w:t xml:space="preserve">оженням № 351, то зазначається </w:t>
      </w:r>
      <w:r w:rsidRPr="001F6E30">
        <w:rPr>
          <w:rFonts w:ascii="Times New Roman" w:eastAsia="Times New Roman" w:hAnsi="Times New Roman" w:cs="Times New Roman"/>
          <w:sz w:val="28"/>
          <w:szCs w:val="28"/>
          <w:lang w:eastAsia="uk-UA"/>
        </w:rPr>
        <w:t>“0”.</w:t>
      </w:r>
    </w:p>
    <w:p w:rsid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679E4">
      <w:pPr>
        <w:tabs>
          <w:tab w:val="left" w:pos="709"/>
        </w:tabs>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580FC9" w:rsidRDefault="00640D8C" w:rsidP="006679E4">
      <w:pPr>
        <w:tabs>
          <w:tab w:val="left" w:pos="709"/>
        </w:tabs>
        <w:spacing w:before="120" w:after="12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21780B"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w:t>
      </w:r>
      <w:r w:rsidR="000F00EB" w:rsidRPr="000F00EB">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w:t>
      </w:r>
      <w:r w:rsidR="000F00EB" w:rsidRPr="000F00EB">
        <w:rPr>
          <w:rFonts w:ascii="Times New Roman" w:eastAsia="Times New Roman" w:hAnsi="Times New Roman" w:cs="Times New Roman"/>
          <w:sz w:val="28"/>
          <w:szCs w:val="28"/>
          <w:lang w:eastAsia="uk-UA"/>
        </w:rPr>
        <w:t>” (</w:t>
      </w:r>
      <w:r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0F00EB" w:rsidRPr="000F00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0F00EB" w:rsidRPr="000F00EB">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Pr="00C21854" w:rsidRDefault="00A74E49" w:rsidP="006679E4">
      <w:pPr>
        <w:tabs>
          <w:tab w:val="left" w:pos="709"/>
        </w:tabs>
        <w:spacing w:before="120"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6679E4">
      <w:pPr>
        <w:tabs>
          <w:tab w:val="left" w:pos="709"/>
        </w:tabs>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Pr="00640D8C" w:rsidRDefault="00640D8C" w:rsidP="006679E4">
      <w:pPr>
        <w:tabs>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A85FA4" w:rsidRPr="00A85FA4" w:rsidRDefault="00A85FA4" w:rsidP="006679E4">
      <w:pPr>
        <w:tabs>
          <w:tab w:val="left" w:pos="709"/>
        </w:tabs>
        <w:spacing w:before="120" w:after="120" w:line="240" w:lineRule="auto"/>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proofErr w:type="spellStart"/>
      <w:r w:rsidRPr="00A85FA4">
        <w:rPr>
          <w:rFonts w:ascii="Times New Roman" w:eastAsia="Times New Roman" w:hAnsi="Times New Roman" w:cs="Times New Roman"/>
          <w:sz w:val="28"/>
          <w:szCs w:val="28"/>
        </w:rPr>
        <w:t>повʼязаної</w:t>
      </w:r>
      <w:proofErr w:type="spellEnd"/>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640D8C" w:rsidRPr="00640D8C" w:rsidRDefault="00640D8C" w:rsidP="006679E4">
      <w:pPr>
        <w:tabs>
          <w:tab w:val="left" w:pos="567"/>
          <w:tab w:val="left" w:pos="709"/>
        </w:tabs>
        <w:spacing w:before="120" w:after="12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679E4">
      <w:pPr>
        <w:tabs>
          <w:tab w:val="left" w:pos="709"/>
        </w:tabs>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679E4">
      <w:pPr>
        <w:tabs>
          <w:tab w:val="left" w:pos="709"/>
        </w:tabs>
        <w:spacing w:after="12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Default="00D77A29"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6679E4">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69" w:rsidRDefault="00A73169" w:rsidP="00BE69F4">
      <w:pPr>
        <w:spacing w:after="0" w:line="240" w:lineRule="auto"/>
      </w:pPr>
      <w:r>
        <w:separator/>
      </w:r>
    </w:p>
  </w:endnote>
  <w:endnote w:type="continuationSeparator" w:id="0">
    <w:p w:rsidR="00A73169" w:rsidRDefault="00A73169" w:rsidP="00BE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69" w:rsidRDefault="00A73169">
    <w:pPr>
      <w:pStyle w:val="af"/>
      <w:jc w:val="right"/>
    </w:pPr>
  </w:p>
  <w:p w:rsidR="00A73169" w:rsidRDefault="00A7316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69" w:rsidRDefault="00A73169" w:rsidP="00BE69F4">
      <w:pPr>
        <w:spacing w:after="0" w:line="240" w:lineRule="auto"/>
      </w:pPr>
      <w:r>
        <w:separator/>
      </w:r>
    </w:p>
  </w:footnote>
  <w:footnote w:type="continuationSeparator" w:id="0">
    <w:p w:rsidR="00A73169" w:rsidRDefault="00A73169" w:rsidP="00BE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074F7"/>
    <w:rsid w:val="0001004C"/>
    <w:rsid w:val="000105AF"/>
    <w:rsid w:val="00010945"/>
    <w:rsid w:val="000145D3"/>
    <w:rsid w:val="0001495B"/>
    <w:rsid w:val="00020A69"/>
    <w:rsid w:val="0002180C"/>
    <w:rsid w:val="000224C1"/>
    <w:rsid w:val="00022A58"/>
    <w:rsid w:val="00023335"/>
    <w:rsid w:val="00023FCD"/>
    <w:rsid w:val="0002752C"/>
    <w:rsid w:val="00030EA9"/>
    <w:rsid w:val="00031E04"/>
    <w:rsid w:val="00032503"/>
    <w:rsid w:val="0003295D"/>
    <w:rsid w:val="00033039"/>
    <w:rsid w:val="00034C2C"/>
    <w:rsid w:val="00041D0F"/>
    <w:rsid w:val="00043418"/>
    <w:rsid w:val="00044154"/>
    <w:rsid w:val="00050C78"/>
    <w:rsid w:val="00051983"/>
    <w:rsid w:val="000557DF"/>
    <w:rsid w:val="000566FB"/>
    <w:rsid w:val="00057C63"/>
    <w:rsid w:val="000610B6"/>
    <w:rsid w:val="00066A1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3377"/>
    <w:rsid w:val="000B6C36"/>
    <w:rsid w:val="000C4C35"/>
    <w:rsid w:val="000C58A6"/>
    <w:rsid w:val="000D1E94"/>
    <w:rsid w:val="000D7D18"/>
    <w:rsid w:val="000E1C20"/>
    <w:rsid w:val="000E3A41"/>
    <w:rsid w:val="000E4103"/>
    <w:rsid w:val="000F00EB"/>
    <w:rsid w:val="000F0EAA"/>
    <w:rsid w:val="000F6780"/>
    <w:rsid w:val="000F7563"/>
    <w:rsid w:val="00111B0A"/>
    <w:rsid w:val="00123298"/>
    <w:rsid w:val="00123A03"/>
    <w:rsid w:val="00123EAD"/>
    <w:rsid w:val="001267B5"/>
    <w:rsid w:val="00136BC7"/>
    <w:rsid w:val="001428E0"/>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2F95"/>
    <w:rsid w:val="0018517D"/>
    <w:rsid w:val="00192CC9"/>
    <w:rsid w:val="001962F3"/>
    <w:rsid w:val="0019685B"/>
    <w:rsid w:val="00197C93"/>
    <w:rsid w:val="001A6BCD"/>
    <w:rsid w:val="001A6DBE"/>
    <w:rsid w:val="001B31F3"/>
    <w:rsid w:val="001B4996"/>
    <w:rsid w:val="001B64C8"/>
    <w:rsid w:val="001B7CF4"/>
    <w:rsid w:val="001C290C"/>
    <w:rsid w:val="001C61D8"/>
    <w:rsid w:val="001D396C"/>
    <w:rsid w:val="001D595A"/>
    <w:rsid w:val="001D5BB7"/>
    <w:rsid w:val="001E021F"/>
    <w:rsid w:val="001E0CB7"/>
    <w:rsid w:val="001E2070"/>
    <w:rsid w:val="001F13B0"/>
    <w:rsid w:val="001F1B80"/>
    <w:rsid w:val="001F6E30"/>
    <w:rsid w:val="0020381D"/>
    <w:rsid w:val="00203DD1"/>
    <w:rsid w:val="002068D3"/>
    <w:rsid w:val="00211B4E"/>
    <w:rsid w:val="0021488C"/>
    <w:rsid w:val="00215519"/>
    <w:rsid w:val="0021780B"/>
    <w:rsid w:val="002208FA"/>
    <w:rsid w:val="00223F7A"/>
    <w:rsid w:val="00225159"/>
    <w:rsid w:val="00226B17"/>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6619B"/>
    <w:rsid w:val="00270572"/>
    <w:rsid w:val="002705F9"/>
    <w:rsid w:val="0027353B"/>
    <w:rsid w:val="0027433B"/>
    <w:rsid w:val="002743D4"/>
    <w:rsid w:val="002744B6"/>
    <w:rsid w:val="0028027C"/>
    <w:rsid w:val="00290487"/>
    <w:rsid w:val="00290A63"/>
    <w:rsid w:val="00291A66"/>
    <w:rsid w:val="00294836"/>
    <w:rsid w:val="00294EFC"/>
    <w:rsid w:val="0029534F"/>
    <w:rsid w:val="002A0A44"/>
    <w:rsid w:val="002A4439"/>
    <w:rsid w:val="002A5472"/>
    <w:rsid w:val="002A643E"/>
    <w:rsid w:val="002A77EA"/>
    <w:rsid w:val="002B2E8C"/>
    <w:rsid w:val="002B3B5D"/>
    <w:rsid w:val="002B44A1"/>
    <w:rsid w:val="002B5EEA"/>
    <w:rsid w:val="002B7290"/>
    <w:rsid w:val="002C467A"/>
    <w:rsid w:val="002D0980"/>
    <w:rsid w:val="002D7736"/>
    <w:rsid w:val="002E2353"/>
    <w:rsid w:val="002E2506"/>
    <w:rsid w:val="002E2626"/>
    <w:rsid w:val="00300AA5"/>
    <w:rsid w:val="00303197"/>
    <w:rsid w:val="00310331"/>
    <w:rsid w:val="00311748"/>
    <w:rsid w:val="0031365C"/>
    <w:rsid w:val="00314177"/>
    <w:rsid w:val="003328CF"/>
    <w:rsid w:val="00334EBB"/>
    <w:rsid w:val="00335927"/>
    <w:rsid w:val="0033665F"/>
    <w:rsid w:val="00336E52"/>
    <w:rsid w:val="003432AB"/>
    <w:rsid w:val="0034586C"/>
    <w:rsid w:val="003471ED"/>
    <w:rsid w:val="003475E9"/>
    <w:rsid w:val="00347F3F"/>
    <w:rsid w:val="00351993"/>
    <w:rsid w:val="003522F0"/>
    <w:rsid w:val="0036055C"/>
    <w:rsid w:val="00363247"/>
    <w:rsid w:val="00367CC4"/>
    <w:rsid w:val="003723D3"/>
    <w:rsid w:val="003764DF"/>
    <w:rsid w:val="0037777B"/>
    <w:rsid w:val="0037796D"/>
    <w:rsid w:val="00386AE1"/>
    <w:rsid w:val="003921A5"/>
    <w:rsid w:val="003A00BA"/>
    <w:rsid w:val="003A1259"/>
    <w:rsid w:val="003A13D2"/>
    <w:rsid w:val="003A4EBF"/>
    <w:rsid w:val="003A5255"/>
    <w:rsid w:val="003A61F4"/>
    <w:rsid w:val="003A743E"/>
    <w:rsid w:val="003A78EE"/>
    <w:rsid w:val="003B0F3E"/>
    <w:rsid w:val="003B35CE"/>
    <w:rsid w:val="003B3DF2"/>
    <w:rsid w:val="003C129A"/>
    <w:rsid w:val="003C2B77"/>
    <w:rsid w:val="003C41A1"/>
    <w:rsid w:val="003D0D36"/>
    <w:rsid w:val="003D1FA8"/>
    <w:rsid w:val="003D26B7"/>
    <w:rsid w:val="003D4C9A"/>
    <w:rsid w:val="003E0796"/>
    <w:rsid w:val="003E2AB2"/>
    <w:rsid w:val="003F086A"/>
    <w:rsid w:val="003F5813"/>
    <w:rsid w:val="00403386"/>
    <w:rsid w:val="004036FD"/>
    <w:rsid w:val="004117AE"/>
    <w:rsid w:val="0041287A"/>
    <w:rsid w:val="00420E1E"/>
    <w:rsid w:val="0042308D"/>
    <w:rsid w:val="00424647"/>
    <w:rsid w:val="00431CAE"/>
    <w:rsid w:val="00443851"/>
    <w:rsid w:val="00444BC6"/>
    <w:rsid w:val="0044516C"/>
    <w:rsid w:val="00454DF1"/>
    <w:rsid w:val="004568B1"/>
    <w:rsid w:val="004573D0"/>
    <w:rsid w:val="004578F3"/>
    <w:rsid w:val="00465256"/>
    <w:rsid w:val="0046553F"/>
    <w:rsid w:val="00466CCB"/>
    <w:rsid w:val="00471E71"/>
    <w:rsid w:val="00472A01"/>
    <w:rsid w:val="00481479"/>
    <w:rsid w:val="00483C8F"/>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4932"/>
    <w:rsid w:val="004B66DF"/>
    <w:rsid w:val="004C1BD2"/>
    <w:rsid w:val="004D1CE0"/>
    <w:rsid w:val="004D34F4"/>
    <w:rsid w:val="004D6717"/>
    <w:rsid w:val="004E149A"/>
    <w:rsid w:val="004E2E62"/>
    <w:rsid w:val="004E308A"/>
    <w:rsid w:val="004E328F"/>
    <w:rsid w:val="004E54F1"/>
    <w:rsid w:val="004E60F6"/>
    <w:rsid w:val="004E704C"/>
    <w:rsid w:val="004E7594"/>
    <w:rsid w:val="004E7696"/>
    <w:rsid w:val="004F0611"/>
    <w:rsid w:val="004F12D3"/>
    <w:rsid w:val="004F4D9C"/>
    <w:rsid w:val="004F6BBE"/>
    <w:rsid w:val="005011B8"/>
    <w:rsid w:val="005014E6"/>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6731"/>
    <w:rsid w:val="0057749B"/>
    <w:rsid w:val="00580969"/>
    <w:rsid w:val="00580FC9"/>
    <w:rsid w:val="00581616"/>
    <w:rsid w:val="00582BB8"/>
    <w:rsid w:val="00586627"/>
    <w:rsid w:val="00592560"/>
    <w:rsid w:val="00594245"/>
    <w:rsid w:val="005A1014"/>
    <w:rsid w:val="005A4C29"/>
    <w:rsid w:val="005A50DE"/>
    <w:rsid w:val="005A5F76"/>
    <w:rsid w:val="005A6498"/>
    <w:rsid w:val="005A7098"/>
    <w:rsid w:val="005B128B"/>
    <w:rsid w:val="005B1638"/>
    <w:rsid w:val="005B29C1"/>
    <w:rsid w:val="005B3633"/>
    <w:rsid w:val="005D08C2"/>
    <w:rsid w:val="005E1594"/>
    <w:rsid w:val="005E1AF4"/>
    <w:rsid w:val="005E2A44"/>
    <w:rsid w:val="005E41A8"/>
    <w:rsid w:val="005E4B6F"/>
    <w:rsid w:val="005E63A7"/>
    <w:rsid w:val="005F1E09"/>
    <w:rsid w:val="005F36B6"/>
    <w:rsid w:val="005F6DB9"/>
    <w:rsid w:val="005F717C"/>
    <w:rsid w:val="00603E46"/>
    <w:rsid w:val="006073EF"/>
    <w:rsid w:val="006121EC"/>
    <w:rsid w:val="006135DF"/>
    <w:rsid w:val="00613E69"/>
    <w:rsid w:val="00616D24"/>
    <w:rsid w:val="00617DC7"/>
    <w:rsid w:val="00622667"/>
    <w:rsid w:val="006229B7"/>
    <w:rsid w:val="00625FD4"/>
    <w:rsid w:val="00637C95"/>
    <w:rsid w:val="00640D8C"/>
    <w:rsid w:val="00644D8E"/>
    <w:rsid w:val="006477B8"/>
    <w:rsid w:val="00651074"/>
    <w:rsid w:val="00652BED"/>
    <w:rsid w:val="00655B09"/>
    <w:rsid w:val="00655EF8"/>
    <w:rsid w:val="00656DBC"/>
    <w:rsid w:val="0066183D"/>
    <w:rsid w:val="00661910"/>
    <w:rsid w:val="006649B5"/>
    <w:rsid w:val="006657F0"/>
    <w:rsid w:val="006666B7"/>
    <w:rsid w:val="006679E4"/>
    <w:rsid w:val="0067017A"/>
    <w:rsid w:val="0067035D"/>
    <w:rsid w:val="00675497"/>
    <w:rsid w:val="00675E9D"/>
    <w:rsid w:val="0067754B"/>
    <w:rsid w:val="00677BD2"/>
    <w:rsid w:val="006806BB"/>
    <w:rsid w:val="00683DEF"/>
    <w:rsid w:val="00684A58"/>
    <w:rsid w:val="0068677D"/>
    <w:rsid w:val="0069089C"/>
    <w:rsid w:val="0069401B"/>
    <w:rsid w:val="00696A02"/>
    <w:rsid w:val="00696E92"/>
    <w:rsid w:val="006A2B55"/>
    <w:rsid w:val="006B21F1"/>
    <w:rsid w:val="006C63A9"/>
    <w:rsid w:val="006D12F2"/>
    <w:rsid w:val="006D3C06"/>
    <w:rsid w:val="006D6752"/>
    <w:rsid w:val="006D7158"/>
    <w:rsid w:val="006E4FE7"/>
    <w:rsid w:val="006E7FB6"/>
    <w:rsid w:val="006F15D9"/>
    <w:rsid w:val="00702167"/>
    <w:rsid w:val="0070278B"/>
    <w:rsid w:val="00704D69"/>
    <w:rsid w:val="0070698A"/>
    <w:rsid w:val="007073CF"/>
    <w:rsid w:val="007103E1"/>
    <w:rsid w:val="007105D8"/>
    <w:rsid w:val="007200A6"/>
    <w:rsid w:val="007235CD"/>
    <w:rsid w:val="00723BBB"/>
    <w:rsid w:val="00732E8D"/>
    <w:rsid w:val="00733A3B"/>
    <w:rsid w:val="00737082"/>
    <w:rsid w:val="00741319"/>
    <w:rsid w:val="0074225A"/>
    <w:rsid w:val="0074283D"/>
    <w:rsid w:val="00743DFF"/>
    <w:rsid w:val="00744D2C"/>
    <w:rsid w:val="00745075"/>
    <w:rsid w:val="00750662"/>
    <w:rsid w:val="00751617"/>
    <w:rsid w:val="00752958"/>
    <w:rsid w:val="00753EF3"/>
    <w:rsid w:val="0075406B"/>
    <w:rsid w:val="007556B3"/>
    <w:rsid w:val="00757933"/>
    <w:rsid w:val="00763C8B"/>
    <w:rsid w:val="007657BE"/>
    <w:rsid w:val="00766457"/>
    <w:rsid w:val="00770E2D"/>
    <w:rsid w:val="00772DDB"/>
    <w:rsid w:val="00774ECF"/>
    <w:rsid w:val="007778F2"/>
    <w:rsid w:val="0078154B"/>
    <w:rsid w:val="007847BD"/>
    <w:rsid w:val="00785950"/>
    <w:rsid w:val="0078666A"/>
    <w:rsid w:val="0078695C"/>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34B7E"/>
    <w:rsid w:val="00841164"/>
    <w:rsid w:val="008415B5"/>
    <w:rsid w:val="00845C4A"/>
    <w:rsid w:val="00851755"/>
    <w:rsid w:val="00851A99"/>
    <w:rsid w:val="00852C87"/>
    <w:rsid w:val="00861A2C"/>
    <w:rsid w:val="00862872"/>
    <w:rsid w:val="0086324D"/>
    <w:rsid w:val="00864020"/>
    <w:rsid w:val="00867DC2"/>
    <w:rsid w:val="0087167F"/>
    <w:rsid w:val="00873AAE"/>
    <w:rsid w:val="008768DD"/>
    <w:rsid w:val="00877BBA"/>
    <w:rsid w:val="008802C3"/>
    <w:rsid w:val="0088213B"/>
    <w:rsid w:val="008821B5"/>
    <w:rsid w:val="00882929"/>
    <w:rsid w:val="00885298"/>
    <w:rsid w:val="008856CB"/>
    <w:rsid w:val="00885CF4"/>
    <w:rsid w:val="0088742D"/>
    <w:rsid w:val="0089527B"/>
    <w:rsid w:val="008A2660"/>
    <w:rsid w:val="008A7BF1"/>
    <w:rsid w:val="008B3ED4"/>
    <w:rsid w:val="008B47ED"/>
    <w:rsid w:val="008B73CF"/>
    <w:rsid w:val="008C3577"/>
    <w:rsid w:val="008C6817"/>
    <w:rsid w:val="008E1CBC"/>
    <w:rsid w:val="008F257B"/>
    <w:rsid w:val="00900790"/>
    <w:rsid w:val="00901C19"/>
    <w:rsid w:val="0090425F"/>
    <w:rsid w:val="00914DEA"/>
    <w:rsid w:val="0091794F"/>
    <w:rsid w:val="009201A2"/>
    <w:rsid w:val="009214FA"/>
    <w:rsid w:val="00923431"/>
    <w:rsid w:val="00923695"/>
    <w:rsid w:val="00923BC6"/>
    <w:rsid w:val="0092401E"/>
    <w:rsid w:val="00927DAE"/>
    <w:rsid w:val="009332D0"/>
    <w:rsid w:val="00934373"/>
    <w:rsid w:val="00934498"/>
    <w:rsid w:val="0094011E"/>
    <w:rsid w:val="00940E8C"/>
    <w:rsid w:val="009454A1"/>
    <w:rsid w:val="00946980"/>
    <w:rsid w:val="009508C4"/>
    <w:rsid w:val="00951486"/>
    <w:rsid w:val="009534FD"/>
    <w:rsid w:val="00960C53"/>
    <w:rsid w:val="00963DE3"/>
    <w:rsid w:val="00965760"/>
    <w:rsid w:val="00971196"/>
    <w:rsid w:val="00971C95"/>
    <w:rsid w:val="0097400E"/>
    <w:rsid w:val="00976060"/>
    <w:rsid w:val="00981C23"/>
    <w:rsid w:val="00983535"/>
    <w:rsid w:val="00983D35"/>
    <w:rsid w:val="00986F13"/>
    <w:rsid w:val="009927B9"/>
    <w:rsid w:val="0099457D"/>
    <w:rsid w:val="009A3CD8"/>
    <w:rsid w:val="009A7A47"/>
    <w:rsid w:val="009B5CF3"/>
    <w:rsid w:val="009C32E2"/>
    <w:rsid w:val="009C3AC4"/>
    <w:rsid w:val="009C7F53"/>
    <w:rsid w:val="009D0019"/>
    <w:rsid w:val="009D148E"/>
    <w:rsid w:val="009D3453"/>
    <w:rsid w:val="009D4B50"/>
    <w:rsid w:val="009D581C"/>
    <w:rsid w:val="009D6170"/>
    <w:rsid w:val="009E3567"/>
    <w:rsid w:val="009F103E"/>
    <w:rsid w:val="009F61E8"/>
    <w:rsid w:val="009F6748"/>
    <w:rsid w:val="00A0052F"/>
    <w:rsid w:val="00A02AAD"/>
    <w:rsid w:val="00A0324C"/>
    <w:rsid w:val="00A0325E"/>
    <w:rsid w:val="00A053AF"/>
    <w:rsid w:val="00A11B0D"/>
    <w:rsid w:val="00A13369"/>
    <w:rsid w:val="00A13D12"/>
    <w:rsid w:val="00A14BA0"/>
    <w:rsid w:val="00A15DF4"/>
    <w:rsid w:val="00A228F2"/>
    <w:rsid w:val="00A22B7E"/>
    <w:rsid w:val="00A31072"/>
    <w:rsid w:val="00A32139"/>
    <w:rsid w:val="00A34460"/>
    <w:rsid w:val="00A364EF"/>
    <w:rsid w:val="00A37342"/>
    <w:rsid w:val="00A44686"/>
    <w:rsid w:val="00A4794F"/>
    <w:rsid w:val="00A54827"/>
    <w:rsid w:val="00A55FA0"/>
    <w:rsid w:val="00A56590"/>
    <w:rsid w:val="00A56C62"/>
    <w:rsid w:val="00A627A8"/>
    <w:rsid w:val="00A64BE4"/>
    <w:rsid w:val="00A66BFC"/>
    <w:rsid w:val="00A672CC"/>
    <w:rsid w:val="00A70626"/>
    <w:rsid w:val="00A73169"/>
    <w:rsid w:val="00A74E49"/>
    <w:rsid w:val="00A809B9"/>
    <w:rsid w:val="00A80E92"/>
    <w:rsid w:val="00A85FA4"/>
    <w:rsid w:val="00A87D5A"/>
    <w:rsid w:val="00A92BDB"/>
    <w:rsid w:val="00A93CC7"/>
    <w:rsid w:val="00AA0423"/>
    <w:rsid w:val="00AB0339"/>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1407"/>
    <w:rsid w:val="00B25279"/>
    <w:rsid w:val="00B267FC"/>
    <w:rsid w:val="00B26BE5"/>
    <w:rsid w:val="00B37FD8"/>
    <w:rsid w:val="00B4109B"/>
    <w:rsid w:val="00B461E9"/>
    <w:rsid w:val="00B501CE"/>
    <w:rsid w:val="00B518E8"/>
    <w:rsid w:val="00B557B6"/>
    <w:rsid w:val="00B57C00"/>
    <w:rsid w:val="00B704EE"/>
    <w:rsid w:val="00B7380C"/>
    <w:rsid w:val="00B74336"/>
    <w:rsid w:val="00B762FB"/>
    <w:rsid w:val="00B80932"/>
    <w:rsid w:val="00B82FCB"/>
    <w:rsid w:val="00B91E0C"/>
    <w:rsid w:val="00B94C7C"/>
    <w:rsid w:val="00BA1785"/>
    <w:rsid w:val="00BA73CC"/>
    <w:rsid w:val="00BA75E7"/>
    <w:rsid w:val="00BB1FC6"/>
    <w:rsid w:val="00BB2D4E"/>
    <w:rsid w:val="00BB43DD"/>
    <w:rsid w:val="00BB5B92"/>
    <w:rsid w:val="00BC34D4"/>
    <w:rsid w:val="00BC4705"/>
    <w:rsid w:val="00BC5C56"/>
    <w:rsid w:val="00BD1B8D"/>
    <w:rsid w:val="00BD25D0"/>
    <w:rsid w:val="00BD46CE"/>
    <w:rsid w:val="00BE01AE"/>
    <w:rsid w:val="00BE21C2"/>
    <w:rsid w:val="00BE22A5"/>
    <w:rsid w:val="00BE29C5"/>
    <w:rsid w:val="00BE2F3B"/>
    <w:rsid w:val="00BE33CB"/>
    <w:rsid w:val="00BE57EA"/>
    <w:rsid w:val="00BE69F4"/>
    <w:rsid w:val="00BE7B95"/>
    <w:rsid w:val="00BF3443"/>
    <w:rsid w:val="00BF3C94"/>
    <w:rsid w:val="00BF4A78"/>
    <w:rsid w:val="00C003AA"/>
    <w:rsid w:val="00C02B7B"/>
    <w:rsid w:val="00C032DB"/>
    <w:rsid w:val="00C03B76"/>
    <w:rsid w:val="00C0431B"/>
    <w:rsid w:val="00C06BFD"/>
    <w:rsid w:val="00C07F8C"/>
    <w:rsid w:val="00C12774"/>
    <w:rsid w:val="00C12E25"/>
    <w:rsid w:val="00C13244"/>
    <w:rsid w:val="00C21854"/>
    <w:rsid w:val="00C21CD1"/>
    <w:rsid w:val="00C223AC"/>
    <w:rsid w:val="00C24CC2"/>
    <w:rsid w:val="00C24E18"/>
    <w:rsid w:val="00C30B16"/>
    <w:rsid w:val="00C31FCB"/>
    <w:rsid w:val="00C34E12"/>
    <w:rsid w:val="00C355A9"/>
    <w:rsid w:val="00C36A1A"/>
    <w:rsid w:val="00C40379"/>
    <w:rsid w:val="00C4084A"/>
    <w:rsid w:val="00C447DC"/>
    <w:rsid w:val="00C46038"/>
    <w:rsid w:val="00C46964"/>
    <w:rsid w:val="00C4770C"/>
    <w:rsid w:val="00C506B3"/>
    <w:rsid w:val="00C52D7E"/>
    <w:rsid w:val="00C6128C"/>
    <w:rsid w:val="00C61E16"/>
    <w:rsid w:val="00C72D3B"/>
    <w:rsid w:val="00C77D7E"/>
    <w:rsid w:val="00C83715"/>
    <w:rsid w:val="00C93600"/>
    <w:rsid w:val="00C976B1"/>
    <w:rsid w:val="00CA2221"/>
    <w:rsid w:val="00CA2F2E"/>
    <w:rsid w:val="00CA4D65"/>
    <w:rsid w:val="00CA539A"/>
    <w:rsid w:val="00CB0BDF"/>
    <w:rsid w:val="00CB11C8"/>
    <w:rsid w:val="00CB5760"/>
    <w:rsid w:val="00CB5E6D"/>
    <w:rsid w:val="00CC20D9"/>
    <w:rsid w:val="00CC3FB2"/>
    <w:rsid w:val="00CD61E1"/>
    <w:rsid w:val="00CD7752"/>
    <w:rsid w:val="00CE0914"/>
    <w:rsid w:val="00CE2469"/>
    <w:rsid w:val="00CE2903"/>
    <w:rsid w:val="00CE7E88"/>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516B"/>
    <w:rsid w:val="00D66DC0"/>
    <w:rsid w:val="00D70791"/>
    <w:rsid w:val="00D75BE1"/>
    <w:rsid w:val="00D77899"/>
    <w:rsid w:val="00D77A29"/>
    <w:rsid w:val="00D81E19"/>
    <w:rsid w:val="00D82FD4"/>
    <w:rsid w:val="00D8433F"/>
    <w:rsid w:val="00D85D85"/>
    <w:rsid w:val="00D90280"/>
    <w:rsid w:val="00D92767"/>
    <w:rsid w:val="00D9579D"/>
    <w:rsid w:val="00DA1668"/>
    <w:rsid w:val="00DA2330"/>
    <w:rsid w:val="00DA59C6"/>
    <w:rsid w:val="00DA5E9F"/>
    <w:rsid w:val="00DB0DB8"/>
    <w:rsid w:val="00DB112F"/>
    <w:rsid w:val="00DB1267"/>
    <w:rsid w:val="00DB2D1A"/>
    <w:rsid w:val="00DB42F5"/>
    <w:rsid w:val="00DB6649"/>
    <w:rsid w:val="00DC445C"/>
    <w:rsid w:val="00DC6BE8"/>
    <w:rsid w:val="00DC7120"/>
    <w:rsid w:val="00DC732C"/>
    <w:rsid w:val="00DD46B2"/>
    <w:rsid w:val="00DD75AC"/>
    <w:rsid w:val="00DE0EE0"/>
    <w:rsid w:val="00E019A9"/>
    <w:rsid w:val="00E02FBF"/>
    <w:rsid w:val="00E03BF3"/>
    <w:rsid w:val="00E03CFC"/>
    <w:rsid w:val="00E060F3"/>
    <w:rsid w:val="00E10863"/>
    <w:rsid w:val="00E168C3"/>
    <w:rsid w:val="00E23DB5"/>
    <w:rsid w:val="00E26A06"/>
    <w:rsid w:val="00E31FC7"/>
    <w:rsid w:val="00E33A16"/>
    <w:rsid w:val="00E40070"/>
    <w:rsid w:val="00E41F99"/>
    <w:rsid w:val="00E422BE"/>
    <w:rsid w:val="00E45B7C"/>
    <w:rsid w:val="00E5417A"/>
    <w:rsid w:val="00E55A39"/>
    <w:rsid w:val="00E61958"/>
    <w:rsid w:val="00E636BC"/>
    <w:rsid w:val="00E643BE"/>
    <w:rsid w:val="00E6594C"/>
    <w:rsid w:val="00E7053F"/>
    <w:rsid w:val="00E71D9B"/>
    <w:rsid w:val="00E77DBF"/>
    <w:rsid w:val="00E81E8C"/>
    <w:rsid w:val="00E83A7D"/>
    <w:rsid w:val="00E83AE0"/>
    <w:rsid w:val="00E8413A"/>
    <w:rsid w:val="00E90452"/>
    <w:rsid w:val="00E943BB"/>
    <w:rsid w:val="00E95888"/>
    <w:rsid w:val="00EB0463"/>
    <w:rsid w:val="00EB0635"/>
    <w:rsid w:val="00EB2990"/>
    <w:rsid w:val="00EB2CDC"/>
    <w:rsid w:val="00EB3A2B"/>
    <w:rsid w:val="00EB40BF"/>
    <w:rsid w:val="00EC4F46"/>
    <w:rsid w:val="00ED2BD1"/>
    <w:rsid w:val="00ED65DA"/>
    <w:rsid w:val="00EE1269"/>
    <w:rsid w:val="00EE2E2A"/>
    <w:rsid w:val="00EF0C69"/>
    <w:rsid w:val="00EF1217"/>
    <w:rsid w:val="00EF1E29"/>
    <w:rsid w:val="00EF374C"/>
    <w:rsid w:val="00EF6944"/>
    <w:rsid w:val="00EF7415"/>
    <w:rsid w:val="00F01039"/>
    <w:rsid w:val="00F06433"/>
    <w:rsid w:val="00F11073"/>
    <w:rsid w:val="00F11108"/>
    <w:rsid w:val="00F15007"/>
    <w:rsid w:val="00F15483"/>
    <w:rsid w:val="00F225BF"/>
    <w:rsid w:val="00F24A3E"/>
    <w:rsid w:val="00F24B4E"/>
    <w:rsid w:val="00F25E1F"/>
    <w:rsid w:val="00F2613C"/>
    <w:rsid w:val="00F33088"/>
    <w:rsid w:val="00F35F53"/>
    <w:rsid w:val="00F36784"/>
    <w:rsid w:val="00F420C0"/>
    <w:rsid w:val="00F42F31"/>
    <w:rsid w:val="00F4525D"/>
    <w:rsid w:val="00F45B1D"/>
    <w:rsid w:val="00F465C9"/>
    <w:rsid w:val="00F56346"/>
    <w:rsid w:val="00F60BD8"/>
    <w:rsid w:val="00F6364E"/>
    <w:rsid w:val="00F66638"/>
    <w:rsid w:val="00F673FB"/>
    <w:rsid w:val="00F71659"/>
    <w:rsid w:val="00F71DE8"/>
    <w:rsid w:val="00F75A8B"/>
    <w:rsid w:val="00F76325"/>
    <w:rsid w:val="00F77B01"/>
    <w:rsid w:val="00F85A92"/>
    <w:rsid w:val="00F8682B"/>
    <w:rsid w:val="00F910CD"/>
    <w:rsid w:val="00F91B70"/>
    <w:rsid w:val="00F94CDD"/>
    <w:rsid w:val="00FA0164"/>
    <w:rsid w:val="00FA1987"/>
    <w:rsid w:val="00FA2F31"/>
    <w:rsid w:val="00FB2789"/>
    <w:rsid w:val="00FB3F18"/>
    <w:rsid w:val="00FB4C7A"/>
    <w:rsid w:val="00FB598E"/>
    <w:rsid w:val="00FC0416"/>
    <w:rsid w:val="00FC5BEE"/>
    <w:rsid w:val="00FD2EE5"/>
    <w:rsid w:val="00FD3245"/>
    <w:rsid w:val="00FD6787"/>
    <w:rsid w:val="00FE1CD8"/>
    <w:rsid w:val="00FE2CF3"/>
    <w:rsid w:val="00FE4382"/>
    <w:rsid w:val="00FE51BE"/>
    <w:rsid w:val="00FE654A"/>
    <w:rsid w:val="00FE7B55"/>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aliases w:val="Normal bullet 2 Знак"/>
    <w:link w:val="a3"/>
    <w:uiPriority w:val="34"/>
    <w:locked/>
    <w:rsid w:val="005E1594"/>
  </w:style>
  <w:style w:type="paragraph" w:styleId="ad">
    <w:name w:val="header"/>
    <w:basedOn w:val="a"/>
    <w:link w:val="ae"/>
    <w:uiPriority w:val="99"/>
    <w:unhideWhenUsed/>
    <w:rsid w:val="00BE69F4"/>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BE69F4"/>
  </w:style>
  <w:style w:type="paragraph" w:styleId="af">
    <w:name w:val="footer"/>
    <w:basedOn w:val="a"/>
    <w:link w:val="af0"/>
    <w:uiPriority w:val="99"/>
    <w:unhideWhenUsed/>
    <w:rsid w:val="00BE69F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BE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8DF1-70D3-4150-A79C-2B35751D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54854</Words>
  <Characters>31267</Characters>
  <Application>Microsoft Office Word</Application>
  <DocSecurity>0</DocSecurity>
  <Lines>260</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2</cp:revision>
  <cp:lastPrinted>2018-01-04T08:06:00Z</cp:lastPrinted>
  <dcterms:created xsi:type="dcterms:W3CDTF">2026-02-20T09:01:00Z</dcterms:created>
  <dcterms:modified xsi:type="dcterms:W3CDTF">2026-02-20T09:01:00Z</dcterms:modified>
</cp:coreProperties>
</file>