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5F9F" w14:textId="77777777" w:rsidR="00B930E3" w:rsidRPr="00B930E3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14:paraId="13385FA3" w14:textId="77777777" w:rsidTr="00B930E3">
        <w:trPr>
          <w:trHeight w:val="851"/>
        </w:trPr>
        <w:tc>
          <w:tcPr>
            <w:tcW w:w="3207" w:type="dxa"/>
          </w:tcPr>
          <w:p w14:paraId="13385FA0" w14:textId="77777777" w:rsidR="00410EC0" w:rsidRDefault="00410EC0" w:rsidP="000F60CD"/>
        </w:tc>
        <w:tc>
          <w:tcPr>
            <w:tcW w:w="3227" w:type="dxa"/>
            <w:vMerge w:val="restart"/>
          </w:tcPr>
          <w:p w14:paraId="13385FA1" w14:textId="77777777" w:rsidR="00410EC0" w:rsidRDefault="00410EC0" w:rsidP="000F60CD">
            <w:pPr>
              <w:jc w:val="center"/>
            </w:pPr>
            <w:r>
              <w:object w:dxaOrig="1595" w:dyaOrig="2201" w14:anchorId="13385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48pt" o:ole="">
                  <v:imagedata r:id="rId11" o:title=""/>
                </v:shape>
                <o:OLEObject Type="Embed" ProgID="CorelDraw.Graphic.16" ShapeID="_x0000_i1025" DrawAspect="Content" ObjectID="_1825826649" r:id="rId12"/>
              </w:object>
            </w:r>
          </w:p>
        </w:tc>
        <w:tc>
          <w:tcPr>
            <w:tcW w:w="3204" w:type="dxa"/>
          </w:tcPr>
          <w:p w14:paraId="13385FA2" w14:textId="26D34D5E" w:rsidR="00410EC0" w:rsidRPr="00D87498" w:rsidRDefault="00D87498" w:rsidP="00A93D3F">
            <w:pPr>
              <w:jc w:val="right"/>
            </w:pPr>
            <w:r>
              <w:rPr>
                <w:lang w:val="ru-RU"/>
              </w:rPr>
              <w:t>ПРО</w:t>
            </w:r>
            <w:r>
              <w:t>ЄКТ</w:t>
            </w:r>
            <w:bookmarkStart w:id="0" w:name="_GoBack"/>
            <w:bookmarkEnd w:id="0"/>
          </w:p>
        </w:tc>
      </w:tr>
      <w:tr w:rsidR="00410EC0" w14:paraId="13385FA7" w14:textId="77777777" w:rsidTr="00B930E3">
        <w:tc>
          <w:tcPr>
            <w:tcW w:w="3207" w:type="dxa"/>
          </w:tcPr>
          <w:p w14:paraId="13385FA4" w14:textId="77777777" w:rsidR="00410EC0" w:rsidRDefault="00410EC0" w:rsidP="000F60CD"/>
        </w:tc>
        <w:tc>
          <w:tcPr>
            <w:tcW w:w="3227" w:type="dxa"/>
            <w:vMerge/>
          </w:tcPr>
          <w:p w14:paraId="13385FA5" w14:textId="77777777" w:rsidR="00410EC0" w:rsidRDefault="00410EC0" w:rsidP="000F60CD"/>
        </w:tc>
        <w:tc>
          <w:tcPr>
            <w:tcW w:w="3204" w:type="dxa"/>
          </w:tcPr>
          <w:p w14:paraId="13385FA6" w14:textId="77777777" w:rsidR="00410EC0" w:rsidRDefault="00410EC0" w:rsidP="000F60CD"/>
        </w:tc>
      </w:tr>
      <w:tr w:rsidR="00410EC0" w14:paraId="13385FAA" w14:textId="77777777" w:rsidTr="00B930E3">
        <w:tc>
          <w:tcPr>
            <w:tcW w:w="9638" w:type="dxa"/>
            <w:gridSpan w:val="3"/>
          </w:tcPr>
          <w:p w14:paraId="13385FA8" w14:textId="77777777" w:rsidR="00410EC0" w:rsidRPr="00E10F0A" w:rsidRDefault="00410EC0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13385FA9" w14:textId="77777777" w:rsidR="00410EC0" w:rsidRDefault="00410EC0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13385FAB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14:paraId="13385FB0" w14:textId="77777777" w:rsidTr="000F60CD">
        <w:tc>
          <w:tcPr>
            <w:tcW w:w="3510" w:type="dxa"/>
            <w:vAlign w:val="bottom"/>
          </w:tcPr>
          <w:p w14:paraId="13385FAC" w14:textId="77777777" w:rsidR="00410EC0" w:rsidRPr="00566BA2" w:rsidRDefault="00410EC0" w:rsidP="000F60CD"/>
        </w:tc>
        <w:tc>
          <w:tcPr>
            <w:tcW w:w="2694" w:type="dxa"/>
          </w:tcPr>
          <w:p w14:paraId="13385FAD" w14:textId="0180EBB3" w:rsidR="00410EC0" w:rsidRDefault="00BF0770" w:rsidP="000F60CD">
            <w:pPr>
              <w:spacing w:before="240"/>
              <w:jc w:val="center"/>
            </w:pPr>
            <w:r w:rsidRPr="009B7F4D">
              <w:rPr>
                <w:color w:val="006600"/>
                <w:lang w:val="ru-RU"/>
              </w:rPr>
              <w:t xml:space="preserve"> </w:t>
            </w:r>
            <w:r w:rsidR="00410EC0"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13385FAE" w14:textId="77777777" w:rsidR="00410EC0" w:rsidRPr="00101D5A" w:rsidRDefault="00410EC0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13385FAF" w14:textId="77777777" w:rsidR="00410EC0" w:rsidRDefault="00410EC0" w:rsidP="000F60CD">
            <w:pPr>
              <w:jc w:val="left"/>
            </w:pPr>
          </w:p>
        </w:tc>
      </w:tr>
    </w:tbl>
    <w:p w14:paraId="13385FB1" w14:textId="77777777" w:rsidR="00410EC0" w:rsidRPr="00CD0CD4" w:rsidRDefault="00410EC0" w:rsidP="00410EC0">
      <w:pPr>
        <w:rPr>
          <w:sz w:val="2"/>
          <w:szCs w:val="2"/>
        </w:rPr>
      </w:pPr>
    </w:p>
    <w:p w14:paraId="13385FB2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410EC0" w:rsidRPr="00CD0CD4" w14:paraId="13385FB4" w14:textId="77777777" w:rsidTr="000F60CD">
        <w:trPr>
          <w:jc w:val="center"/>
        </w:trPr>
        <w:tc>
          <w:tcPr>
            <w:tcW w:w="5000" w:type="pct"/>
          </w:tcPr>
          <w:p w14:paraId="13385FB3" w14:textId="1E02D215" w:rsidR="00410EC0" w:rsidRPr="00CD0CD4" w:rsidRDefault="00EC2B1A" w:rsidP="007B1D3D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EC2B1A">
              <w:rPr>
                <w:rFonts w:eastAsiaTheme="minorEastAsia"/>
                <w:color w:val="000000" w:themeColor="text1"/>
                <w:lang w:eastAsia="en-US"/>
              </w:rPr>
              <w:t xml:space="preserve">Про </w:t>
            </w:r>
            <w:r w:rsidR="00B4018B">
              <w:rPr>
                <w:rFonts w:eastAsiaTheme="minorEastAsia"/>
                <w:color w:val="000000" w:themeColor="text1"/>
                <w:lang w:eastAsia="en-US"/>
              </w:rPr>
              <w:t>внесення</w:t>
            </w:r>
            <w:r w:rsidRPr="00EC2B1A">
              <w:rPr>
                <w:rFonts w:eastAsiaTheme="minorEastAsia"/>
                <w:color w:val="000000" w:themeColor="text1"/>
                <w:lang w:eastAsia="en-US"/>
              </w:rPr>
              <w:t xml:space="preserve"> </w:t>
            </w:r>
            <w:r w:rsidR="007B1D3D">
              <w:rPr>
                <w:rFonts w:eastAsiaTheme="minorEastAsia"/>
                <w:color w:val="000000" w:themeColor="text1"/>
                <w:lang w:eastAsia="en-US"/>
              </w:rPr>
              <w:t>з</w:t>
            </w:r>
            <w:r w:rsidR="007B1D3D" w:rsidRPr="00EC2B1A">
              <w:rPr>
                <w:rFonts w:eastAsiaTheme="minorEastAsia"/>
                <w:color w:val="000000" w:themeColor="text1"/>
                <w:lang w:eastAsia="en-US"/>
              </w:rPr>
              <w:t xml:space="preserve">мін </w:t>
            </w:r>
            <w:r w:rsidRPr="00EC2B1A">
              <w:rPr>
                <w:rFonts w:eastAsiaTheme="minorEastAsia"/>
                <w:color w:val="000000" w:themeColor="text1"/>
                <w:lang w:eastAsia="en-US"/>
              </w:rPr>
              <w:t xml:space="preserve">до Положення </w:t>
            </w:r>
            <w:r w:rsidR="00B4018B" w:rsidRPr="00576863">
              <w:rPr>
                <w:rFonts w:eastAsiaTheme="minorEastAsia"/>
                <w:lang w:eastAsia="en-US"/>
              </w:rPr>
              <w:t>про регулювання діяльності Фонду часткового гарантування кредитів у сільському господарстві</w:t>
            </w:r>
          </w:p>
        </w:tc>
      </w:tr>
    </w:tbl>
    <w:p w14:paraId="13385FB5" w14:textId="0BB3484A" w:rsidR="00410EC0" w:rsidRPr="00B12335" w:rsidRDefault="00EC2B1A" w:rsidP="00410EC0">
      <w:pPr>
        <w:spacing w:before="240" w:after="240"/>
        <w:ind w:firstLine="567"/>
        <w:rPr>
          <w:b/>
        </w:rPr>
      </w:pPr>
      <w:r w:rsidRPr="00B12335">
        <w:rPr>
          <w:rFonts w:eastAsiaTheme="minorEastAsia"/>
          <w:lang w:eastAsia="en-US"/>
        </w:rPr>
        <w:t xml:space="preserve">Відповідно до статей </w:t>
      </w:r>
      <w:r w:rsidR="0095506C" w:rsidRPr="00B12335">
        <w:rPr>
          <w:rFonts w:eastAsiaTheme="minorEastAsia"/>
          <w:noProof/>
          <w:lang w:eastAsia="en-US"/>
        </w:rPr>
        <w:t xml:space="preserve">7, 15, </w:t>
      </w:r>
      <w:r w:rsidR="0095506C" w:rsidRPr="00B12335">
        <w:rPr>
          <w:rFonts w:eastAsia="SimSun"/>
        </w:rPr>
        <w:t>55</w:t>
      </w:r>
      <w:r w:rsidR="0095506C" w:rsidRPr="00B12335">
        <w:rPr>
          <w:rFonts w:eastAsia="SimSun"/>
          <w:vertAlign w:val="superscript"/>
        </w:rPr>
        <w:t>1</w:t>
      </w:r>
      <w:r w:rsidR="0095506C" w:rsidRPr="00B12335">
        <w:rPr>
          <w:rFonts w:eastAsiaTheme="minorEastAsia"/>
          <w:noProof/>
          <w:lang w:eastAsia="en-US"/>
        </w:rPr>
        <w:t xml:space="preserve">, 56, Закону України </w:t>
      </w:r>
      <w:r w:rsidR="00750D9F" w:rsidRPr="00B12335">
        <w:rPr>
          <w:rFonts w:eastAsiaTheme="minorEastAsia"/>
          <w:noProof/>
          <w:lang w:eastAsia="en-US"/>
        </w:rPr>
        <w:t>“</w:t>
      </w:r>
      <w:r w:rsidR="0095506C" w:rsidRPr="00B12335">
        <w:rPr>
          <w:rFonts w:eastAsiaTheme="minorEastAsia"/>
          <w:noProof/>
          <w:lang w:eastAsia="en-US"/>
        </w:rPr>
        <w:t>Про Національний банк України</w:t>
      </w:r>
      <w:r w:rsidR="00750D9F" w:rsidRPr="00B12335">
        <w:rPr>
          <w:rFonts w:eastAsiaTheme="minorEastAsia"/>
          <w:noProof/>
          <w:lang w:eastAsia="en-US"/>
        </w:rPr>
        <w:t>”</w:t>
      </w:r>
      <w:r w:rsidR="0095506C" w:rsidRPr="00B12335">
        <w:rPr>
          <w:rFonts w:eastAsiaTheme="minorEastAsia"/>
          <w:noProof/>
          <w:lang w:eastAsia="en-US"/>
        </w:rPr>
        <w:t xml:space="preserve">, </w:t>
      </w:r>
      <w:r w:rsidR="00750D9F" w:rsidRPr="00B12335">
        <w:t xml:space="preserve">статті 21 </w:t>
      </w:r>
      <w:r w:rsidR="00750D9F" w:rsidRPr="00B12335">
        <w:rPr>
          <w:rFonts w:eastAsiaTheme="minorEastAsia"/>
          <w:noProof/>
          <w:lang w:eastAsia="en-US"/>
        </w:rPr>
        <w:t>Закону України “Про фінансові послуги та фінансові компанії”</w:t>
      </w:r>
      <w:r w:rsidR="00750D9F" w:rsidRPr="00B12335">
        <w:t xml:space="preserve">, </w:t>
      </w:r>
      <w:r w:rsidR="00314374" w:rsidRPr="00B12335">
        <w:rPr>
          <w:rFonts w:eastAsiaTheme="minorEastAsia"/>
          <w:noProof/>
          <w:lang w:eastAsia="en-US"/>
        </w:rPr>
        <w:t xml:space="preserve">пункту 9 розділу </w:t>
      </w:r>
      <w:r w:rsidR="00314374" w:rsidRPr="00B12335">
        <w:rPr>
          <w:rFonts w:eastAsiaTheme="minorEastAsia"/>
          <w:bCs/>
          <w:noProof/>
          <w:lang w:eastAsia="en-US"/>
        </w:rPr>
        <w:t>XI</w:t>
      </w:r>
      <w:r w:rsidR="00D2398C" w:rsidRPr="00B12335">
        <w:rPr>
          <w:rFonts w:eastAsiaTheme="minorEastAsia"/>
          <w:noProof/>
          <w:lang w:eastAsia="en-US"/>
        </w:rPr>
        <w:t xml:space="preserve"> Закону України “Про рейтингування”</w:t>
      </w:r>
      <w:r w:rsidR="0095506C" w:rsidRPr="00B12335">
        <w:rPr>
          <w:rFonts w:eastAsiaTheme="minorEastAsia"/>
          <w:noProof/>
          <w:lang w:eastAsia="en-US"/>
        </w:rPr>
        <w:t xml:space="preserve">, статей 13, 18 Закону України </w:t>
      </w:r>
      <w:r w:rsidR="00750D9F" w:rsidRPr="00B12335">
        <w:rPr>
          <w:rFonts w:eastAsiaTheme="minorEastAsia"/>
          <w:noProof/>
          <w:lang w:eastAsia="en-US"/>
        </w:rPr>
        <w:t>“</w:t>
      </w:r>
      <w:r w:rsidR="0095506C" w:rsidRPr="00B12335">
        <w:rPr>
          <w:rFonts w:eastAsiaTheme="minorEastAsia"/>
          <w:noProof/>
          <w:lang w:eastAsia="en-US"/>
        </w:rPr>
        <w:t>Про Фонд часткового гарантування кредитів у сільському господарстві</w:t>
      </w:r>
      <w:r w:rsidR="00750D9F" w:rsidRPr="00B12335">
        <w:rPr>
          <w:rFonts w:eastAsiaTheme="minorEastAsia"/>
          <w:noProof/>
          <w:lang w:eastAsia="en-US"/>
        </w:rPr>
        <w:t>”</w:t>
      </w:r>
      <w:r w:rsidR="0095506C" w:rsidRPr="00B12335">
        <w:rPr>
          <w:rFonts w:eastAsiaTheme="minorEastAsia"/>
          <w:noProof/>
          <w:lang w:eastAsia="en-US"/>
        </w:rPr>
        <w:t xml:space="preserve">, з метою </w:t>
      </w:r>
      <w:r w:rsidR="00750D9F" w:rsidRPr="00B12335">
        <w:rPr>
          <w:rFonts w:eastAsiaTheme="minorEastAsia"/>
          <w:lang w:eastAsia="en-US"/>
        </w:rPr>
        <w:t>регулювання діяльності</w:t>
      </w:r>
      <w:r w:rsidR="00750D9F" w:rsidRPr="00B12335">
        <w:rPr>
          <w:rFonts w:eastAsiaTheme="minorEastAsia"/>
          <w:noProof/>
          <w:lang w:eastAsia="en-US"/>
        </w:rPr>
        <w:t xml:space="preserve"> </w:t>
      </w:r>
      <w:r w:rsidR="0095506C" w:rsidRPr="00B12335">
        <w:rPr>
          <w:rFonts w:eastAsiaTheme="minorEastAsia"/>
          <w:noProof/>
          <w:lang w:eastAsia="en-US"/>
        </w:rPr>
        <w:t>Фонду часткового гарантування кредитів у сільському господарстві</w:t>
      </w:r>
      <w:r w:rsidRPr="00B12335">
        <w:rPr>
          <w:rFonts w:eastAsiaTheme="minorEastAsia"/>
          <w:lang w:eastAsia="en-US"/>
        </w:rPr>
        <w:t>,</w:t>
      </w:r>
      <w:r w:rsidR="00410EC0" w:rsidRPr="00B12335">
        <w:rPr>
          <w:b/>
        </w:rPr>
        <w:t xml:space="preserve"> </w:t>
      </w:r>
      <w:r w:rsidR="00410EC0" w:rsidRPr="00B12335">
        <w:t>Правління Національного банку України</w:t>
      </w:r>
      <w:r w:rsidR="00410EC0" w:rsidRPr="00B12335">
        <w:rPr>
          <w:b/>
        </w:rPr>
        <w:t xml:space="preserve"> постановляє:</w:t>
      </w:r>
    </w:p>
    <w:p w14:paraId="6F4E66BA" w14:textId="74B39492" w:rsidR="00EC2B1A" w:rsidRPr="00B12335" w:rsidRDefault="00410EC0" w:rsidP="00EC2B1A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B12335">
        <w:rPr>
          <w:lang w:val="ru-RU"/>
        </w:rPr>
        <w:t>1.</w:t>
      </w:r>
      <w:r w:rsidRPr="00B12335">
        <w:rPr>
          <w:lang w:val="en-US"/>
        </w:rPr>
        <w:t> </w:t>
      </w:r>
      <w:r w:rsidR="009048A1" w:rsidRPr="00B12335">
        <w:rPr>
          <w:rFonts w:eastAsiaTheme="minorEastAsia"/>
          <w:noProof/>
          <w:lang w:eastAsia="en-US"/>
        </w:rPr>
        <w:t>У</w:t>
      </w:r>
      <w:r w:rsidR="00750D9F" w:rsidRPr="00B12335">
        <w:rPr>
          <w:rFonts w:eastAsiaTheme="minorEastAsia"/>
          <w:noProof/>
          <w:lang w:eastAsia="en-US"/>
        </w:rPr>
        <w:t>нести</w:t>
      </w:r>
      <w:r w:rsidR="00EC2B1A" w:rsidRPr="00B12335">
        <w:rPr>
          <w:rFonts w:eastAsiaTheme="minorEastAsia"/>
          <w:noProof/>
          <w:lang w:eastAsia="en-US"/>
        </w:rPr>
        <w:t xml:space="preserve"> до Положення про </w:t>
      </w:r>
      <w:r w:rsidR="00750D9F" w:rsidRPr="00B12335">
        <w:rPr>
          <w:rFonts w:eastAsiaTheme="minorEastAsia"/>
          <w:lang w:eastAsia="en-US"/>
        </w:rPr>
        <w:t>регулювання діяльності Фонду часткового гарантування кредитів у сільському господарстві</w:t>
      </w:r>
      <w:r w:rsidR="00EC2B1A" w:rsidRPr="00B12335">
        <w:rPr>
          <w:rFonts w:eastAsiaTheme="minorEastAsia"/>
          <w:noProof/>
          <w:lang w:eastAsia="en-US"/>
        </w:rPr>
        <w:t xml:space="preserve">, затвердженого постановою Правління Національного банку України від </w:t>
      </w:r>
      <w:r w:rsidR="00750D9F" w:rsidRPr="00B12335">
        <w:t>19 серпня 2022 року №</w:t>
      </w:r>
      <w:r w:rsidR="0018608D" w:rsidRPr="00B12335">
        <w:rPr>
          <w:rFonts w:eastAsiaTheme="minorEastAsia"/>
          <w:noProof/>
          <w:lang w:eastAsia="en-US"/>
        </w:rPr>
        <w:t> </w:t>
      </w:r>
      <w:r w:rsidR="00750D9F" w:rsidRPr="00B12335">
        <w:t>184 (зі змінами)</w:t>
      </w:r>
      <w:r w:rsidR="00BA1874" w:rsidRPr="00B12335">
        <w:t xml:space="preserve"> такі зміни</w:t>
      </w:r>
      <w:r w:rsidR="00EC2B1A" w:rsidRPr="00B12335">
        <w:rPr>
          <w:rFonts w:eastAsiaTheme="minorEastAsia"/>
          <w:noProof/>
          <w:lang w:eastAsia="en-US"/>
        </w:rPr>
        <w:t>:</w:t>
      </w:r>
    </w:p>
    <w:p w14:paraId="2D8BDB53" w14:textId="6F7DD0BB" w:rsidR="00863DD5" w:rsidRPr="00B12335" w:rsidRDefault="00EC2B1A" w:rsidP="0027493E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 xml:space="preserve">1) пункт </w:t>
      </w:r>
      <w:r w:rsidR="00B62573" w:rsidRPr="00B12335">
        <w:rPr>
          <w:rFonts w:eastAsiaTheme="minorEastAsia"/>
          <w:noProof/>
          <w:lang w:eastAsia="en-US"/>
        </w:rPr>
        <w:t>2</w:t>
      </w:r>
      <w:r w:rsidRPr="00B12335">
        <w:rPr>
          <w:rFonts w:eastAsiaTheme="minorEastAsia"/>
          <w:noProof/>
          <w:lang w:eastAsia="en-US"/>
        </w:rPr>
        <w:t xml:space="preserve"> розділу I після </w:t>
      </w:r>
      <w:r w:rsidR="00F73BCE" w:rsidRPr="00B12335">
        <w:rPr>
          <w:rFonts w:eastAsiaTheme="minorEastAsia"/>
          <w:noProof/>
          <w:lang w:eastAsia="en-US"/>
        </w:rPr>
        <w:t xml:space="preserve">абзацу </w:t>
      </w:r>
      <w:r w:rsidR="00B62573" w:rsidRPr="00B12335">
        <w:rPr>
          <w:rFonts w:eastAsiaTheme="minorEastAsia"/>
          <w:noProof/>
          <w:lang w:eastAsia="en-US"/>
        </w:rPr>
        <w:t>чотирнадцятого</w:t>
      </w:r>
      <w:r w:rsidRPr="00B12335">
        <w:rPr>
          <w:rFonts w:eastAsiaTheme="minorEastAsia"/>
          <w:noProof/>
          <w:lang w:eastAsia="en-US"/>
        </w:rPr>
        <w:t xml:space="preserve"> доповнити новим </w:t>
      </w:r>
      <w:r w:rsidR="00F73BCE" w:rsidRPr="00B12335">
        <w:rPr>
          <w:rFonts w:eastAsiaTheme="minorEastAsia"/>
          <w:noProof/>
          <w:lang w:eastAsia="en-US"/>
        </w:rPr>
        <w:t xml:space="preserve">абзацом </w:t>
      </w:r>
      <w:r w:rsidR="00B62573" w:rsidRPr="00B12335">
        <w:rPr>
          <w:rFonts w:eastAsiaTheme="minorEastAsia"/>
          <w:noProof/>
          <w:lang w:eastAsia="en-US"/>
        </w:rPr>
        <w:t>п’ятнадцятим</w:t>
      </w:r>
      <w:r w:rsidRPr="00B12335">
        <w:rPr>
          <w:rFonts w:eastAsiaTheme="minorEastAsia"/>
          <w:noProof/>
          <w:lang w:eastAsia="en-US"/>
        </w:rPr>
        <w:t xml:space="preserve"> такого змісту:</w:t>
      </w:r>
    </w:p>
    <w:p w14:paraId="369922B3" w14:textId="59D077AC" w:rsidR="00EC2B1A" w:rsidRPr="00B12335" w:rsidRDefault="00B62573" w:rsidP="0027493E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«</w:t>
      </w:r>
      <w:r w:rsidR="002A35B8" w:rsidRPr="00B12335">
        <w:rPr>
          <w:rFonts w:eastAsiaTheme="minorEastAsia"/>
          <w:noProof/>
          <w:lang w:eastAsia="en-US"/>
        </w:rPr>
        <w:t>Терміни “кредитний рейтинг”, “рейтингова шкала”, “рейтингове агентство”, використовуються у значеннях, визначених Законом України “Про рейтингування”.</w:t>
      </w:r>
      <w:r w:rsidR="00B224AE" w:rsidRPr="00B12335">
        <w:rPr>
          <w:rFonts w:eastAsiaTheme="minorEastAsia"/>
          <w:noProof/>
          <w:lang w:eastAsia="en-US"/>
        </w:rPr>
        <w:t>»;</w:t>
      </w:r>
    </w:p>
    <w:p w14:paraId="46B6409A" w14:textId="4B4DA6C3" w:rsidR="00EC2B1A" w:rsidRPr="00B12335" w:rsidRDefault="00EC2B1A" w:rsidP="0027493E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 xml:space="preserve">У зв’язку з цим абзац </w:t>
      </w:r>
      <w:r w:rsidR="00B62573" w:rsidRPr="00B12335">
        <w:rPr>
          <w:rFonts w:eastAsiaTheme="minorEastAsia"/>
          <w:noProof/>
          <w:lang w:eastAsia="en-US"/>
        </w:rPr>
        <w:t>п’ятнадцятий</w:t>
      </w:r>
      <w:r w:rsidRPr="00B12335">
        <w:rPr>
          <w:rFonts w:eastAsiaTheme="minorEastAsia"/>
          <w:noProof/>
          <w:lang w:eastAsia="en-US"/>
        </w:rPr>
        <w:t xml:space="preserve"> </w:t>
      </w:r>
      <w:r w:rsidR="00EA03E2" w:rsidRPr="00B12335">
        <w:rPr>
          <w:rFonts w:eastAsiaTheme="minorEastAsia"/>
          <w:noProof/>
          <w:lang w:eastAsia="en-US"/>
        </w:rPr>
        <w:t>у</w:t>
      </w:r>
      <w:r w:rsidRPr="00B12335">
        <w:rPr>
          <w:rFonts w:eastAsiaTheme="minorEastAsia"/>
          <w:noProof/>
          <w:lang w:eastAsia="en-US"/>
        </w:rPr>
        <w:t xml:space="preserve">важати абзацом </w:t>
      </w:r>
      <w:r w:rsidR="00B62573" w:rsidRPr="00B12335">
        <w:rPr>
          <w:rFonts w:eastAsiaTheme="minorEastAsia"/>
          <w:noProof/>
          <w:lang w:eastAsia="en-US"/>
        </w:rPr>
        <w:t>шістнадцятим</w:t>
      </w:r>
      <w:r w:rsidRPr="00B12335">
        <w:rPr>
          <w:rFonts w:eastAsiaTheme="minorEastAsia"/>
          <w:noProof/>
          <w:lang w:eastAsia="en-US"/>
        </w:rPr>
        <w:t>;</w:t>
      </w:r>
    </w:p>
    <w:p w14:paraId="04E3004C" w14:textId="77777777" w:rsidR="004F1E8E" w:rsidRPr="00B12335" w:rsidRDefault="004F1E8E" w:rsidP="0027493E">
      <w:pPr>
        <w:ind w:firstLine="567"/>
        <w:rPr>
          <w:rFonts w:eastAsiaTheme="minorEastAsia"/>
          <w:noProof/>
          <w:lang w:eastAsia="en-US"/>
        </w:rPr>
      </w:pPr>
    </w:p>
    <w:p w14:paraId="73377161" w14:textId="7D0366F8" w:rsidR="00B651CA" w:rsidRPr="00B12335" w:rsidRDefault="00EC2B1A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 xml:space="preserve">2) </w:t>
      </w:r>
      <w:r w:rsidR="0018608D" w:rsidRPr="00B12335">
        <w:rPr>
          <w:rFonts w:eastAsiaTheme="minorEastAsia"/>
          <w:noProof/>
          <w:lang w:eastAsia="en-US"/>
        </w:rPr>
        <w:t>розділ</w:t>
      </w:r>
      <w:r w:rsidR="007D0C38" w:rsidRPr="00B12335">
        <w:rPr>
          <w:rFonts w:eastAsiaTheme="minorEastAsia"/>
          <w:noProof/>
          <w:lang w:eastAsia="en-US"/>
        </w:rPr>
        <w:t xml:space="preserve"> ІІІ</w:t>
      </w:r>
      <w:r w:rsidRPr="00B12335">
        <w:rPr>
          <w:rFonts w:eastAsiaTheme="minorEastAsia"/>
          <w:noProof/>
          <w:lang w:eastAsia="en-US"/>
        </w:rPr>
        <w:t xml:space="preserve"> </w:t>
      </w:r>
      <w:r w:rsidR="0018608D" w:rsidRPr="00B12335">
        <w:rPr>
          <w:rFonts w:eastAsiaTheme="minorEastAsia"/>
          <w:noProof/>
          <w:lang w:eastAsia="en-US"/>
        </w:rPr>
        <w:t>після пункту 17 доповнити новим пунктом 17</w:t>
      </w:r>
      <w:r w:rsidR="0018608D" w:rsidRPr="00B12335">
        <w:rPr>
          <w:rFonts w:eastAsiaTheme="minorEastAsia"/>
          <w:noProof/>
          <w:vertAlign w:val="superscript"/>
          <w:lang w:eastAsia="en-US"/>
        </w:rPr>
        <w:t>1</w:t>
      </w:r>
      <w:r w:rsidR="0018608D" w:rsidRPr="00B12335">
        <w:rPr>
          <w:rFonts w:eastAsiaTheme="minorEastAsia"/>
          <w:noProof/>
          <w:lang w:eastAsia="en-US"/>
        </w:rPr>
        <w:t xml:space="preserve"> такого змісту</w:t>
      </w:r>
      <w:r w:rsidRPr="00B12335">
        <w:rPr>
          <w:rFonts w:eastAsiaTheme="minorEastAsia"/>
          <w:noProof/>
          <w:lang w:eastAsia="en-US"/>
        </w:rPr>
        <w:t>:</w:t>
      </w:r>
    </w:p>
    <w:p w14:paraId="13385FB6" w14:textId="3DEAB064" w:rsidR="00410EC0" w:rsidRPr="00B12335" w:rsidRDefault="0018608D" w:rsidP="0018608D">
      <w:pPr>
        <w:ind w:firstLine="567"/>
        <w:rPr>
          <w:rFonts w:eastAsiaTheme="minorEastAsia"/>
          <w:noProof/>
          <w:lang w:val="ru-RU" w:eastAsia="en-US"/>
        </w:rPr>
      </w:pPr>
      <w:r w:rsidRPr="00B12335">
        <w:rPr>
          <w:rFonts w:eastAsiaTheme="minorEastAsia"/>
          <w:noProof/>
          <w:lang w:eastAsia="en-US"/>
        </w:rPr>
        <w:t>“1</w:t>
      </w:r>
      <w:r w:rsidR="00EC2B1A" w:rsidRPr="00B12335">
        <w:rPr>
          <w:rFonts w:eastAsiaTheme="minorEastAsia"/>
          <w:noProof/>
          <w:lang w:eastAsia="en-US"/>
        </w:rPr>
        <w:t>7</w:t>
      </w:r>
      <w:r w:rsidR="00EC2B1A" w:rsidRPr="00B12335">
        <w:rPr>
          <w:rFonts w:eastAsiaTheme="minorEastAsia"/>
          <w:noProof/>
          <w:vertAlign w:val="superscript"/>
          <w:lang w:eastAsia="en-US"/>
        </w:rPr>
        <w:t>1</w:t>
      </w:r>
      <w:r w:rsidR="00EC2B1A" w:rsidRPr="00B12335">
        <w:rPr>
          <w:rFonts w:eastAsiaTheme="minorEastAsia"/>
          <w:noProof/>
          <w:lang w:eastAsia="en-US"/>
        </w:rPr>
        <w:t xml:space="preserve">. </w:t>
      </w:r>
      <w:r w:rsidR="008A2D02" w:rsidRPr="00B12335">
        <w:rPr>
          <w:shd w:val="clear" w:color="auto" w:fill="FFFFFF"/>
        </w:rPr>
        <w:t>Фонд зобов’язаний надати Національному банку копію бізнес-плану розвитку Фонду</w:t>
      </w:r>
      <w:r w:rsidR="00AA2423" w:rsidRPr="00B12335">
        <w:rPr>
          <w:lang w:val="ru-RU"/>
        </w:rPr>
        <w:t> </w:t>
      </w:r>
      <w:r w:rsidR="008A2D02" w:rsidRPr="00B12335">
        <w:rPr>
          <w:shd w:val="clear" w:color="auto" w:fill="FFFFFF"/>
        </w:rPr>
        <w:t>/</w:t>
      </w:r>
      <w:r w:rsidR="008A2D02" w:rsidRPr="00B12335">
        <w:rPr>
          <w:lang w:val="ru-RU"/>
        </w:rPr>
        <w:t> </w:t>
      </w:r>
      <w:r w:rsidR="008A2D02" w:rsidRPr="00B12335">
        <w:rPr>
          <w:shd w:val="clear" w:color="auto" w:fill="FFFFFF"/>
        </w:rPr>
        <w:t xml:space="preserve">змін до </w:t>
      </w:r>
      <w:r w:rsidR="00F73BCE" w:rsidRPr="00B12335">
        <w:rPr>
          <w:shd w:val="clear" w:color="auto" w:fill="FFFFFF"/>
        </w:rPr>
        <w:t>бізнес-</w:t>
      </w:r>
      <w:r w:rsidR="008A2D02" w:rsidRPr="00B12335">
        <w:rPr>
          <w:shd w:val="clear" w:color="auto" w:fill="FFFFFF"/>
        </w:rPr>
        <w:t xml:space="preserve">плану </w:t>
      </w:r>
      <w:r w:rsidR="00F73BCE" w:rsidRPr="00B12335">
        <w:rPr>
          <w:shd w:val="clear" w:color="auto" w:fill="FFFFFF"/>
        </w:rPr>
        <w:t xml:space="preserve">розвитку </w:t>
      </w:r>
      <w:r w:rsidR="008A2D02" w:rsidRPr="00B12335">
        <w:rPr>
          <w:shd w:val="clear" w:color="auto" w:fill="FFFFFF"/>
        </w:rPr>
        <w:t>Фонду, затвердженого</w:t>
      </w:r>
      <w:r w:rsidR="008A2D02" w:rsidRPr="00B12335">
        <w:rPr>
          <w:lang w:val="ru-RU"/>
        </w:rPr>
        <w:t> </w:t>
      </w:r>
      <w:r w:rsidR="008A2D02" w:rsidRPr="00B12335">
        <w:rPr>
          <w:shd w:val="clear" w:color="auto" w:fill="FFFFFF"/>
        </w:rPr>
        <w:t>/</w:t>
      </w:r>
      <w:r w:rsidR="008A2D02" w:rsidRPr="00B12335">
        <w:rPr>
          <w:lang w:val="ru-RU"/>
        </w:rPr>
        <w:t> </w:t>
      </w:r>
      <w:r w:rsidR="008A2D02" w:rsidRPr="00B12335">
        <w:rPr>
          <w:shd w:val="clear" w:color="auto" w:fill="FFFFFF"/>
        </w:rPr>
        <w:t>затверджених Радою Фонду, за підписом уповноваженої особи Фонду, не пізніше п’яти днів з дати затвердження.</w:t>
      </w:r>
      <w:r w:rsidR="00EC2B1A" w:rsidRPr="00B12335">
        <w:rPr>
          <w:rFonts w:eastAsiaTheme="minorEastAsia"/>
          <w:noProof/>
          <w:lang w:eastAsia="en-US"/>
        </w:rPr>
        <w:t>”</w:t>
      </w:r>
      <w:r w:rsidR="007D0C38" w:rsidRPr="00B12335">
        <w:rPr>
          <w:rFonts w:eastAsiaTheme="minorEastAsia"/>
          <w:noProof/>
          <w:lang w:val="ru-RU" w:eastAsia="en-US"/>
        </w:rPr>
        <w:t>;</w:t>
      </w:r>
    </w:p>
    <w:p w14:paraId="52831E85" w14:textId="0B36C383" w:rsidR="007D0C38" w:rsidRPr="00B12335" w:rsidRDefault="007D0C38" w:rsidP="0018608D">
      <w:pPr>
        <w:ind w:firstLine="567"/>
        <w:rPr>
          <w:rFonts w:eastAsiaTheme="minorEastAsia"/>
          <w:noProof/>
          <w:lang w:val="ru-RU" w:eastAsia="en-US"/>
        </w:rPr>
      </w:pPr>
    </w:p>
    <w:p w14:paraId="22622083" w14:textId="6B0FBE29" w:rsidR="000757C7" w:rsidRPr="00B12335" w:rsidRDefault="007D0C38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val="ru-RU" w:eastAsia="en-US"/>
        </w:rPr>
        <w:t xml:space="preserve">3) </w:t>
      </w:r>
      <w:r w:rsidR="00B41B40">
        <w:rPr>
          <w:rFonts w:eastAsiaTheme="minorEastAsia"/>
          <w:noProof/>
          <w:lang w:eastAsia="en-US"/>
        </w:rPr>
        <w:t>п</w:t>
      </w:r>
      <w:r w:rsidR="000757C7" w:rsidRPr="00B12335">
        <w:rPr>
          <w:rFonts w:eastAsiaTheme="minorEastAsia"/>
          <w:noProof/>
          <w:lang w:val="ru-RU" w:eastAsia="en-US"/>
        </w:rPr>
        <w:t>унк</w:t>
      </w:r>
      <w:r w:rsidR="000757C7" w:rsidRPr="00B12335">
        <w:rPr>
          <w:rFonts w:eastAsiaTheme="minorEastAsia"/>
          <w:noProof/>
          <w:lang w:eastAsia="en-US"/>
        </w:rPr>
        <w:t>т 27 розділу IV</w:t>
      </w:r>
      <w:r w:rsidR="007D5DD4">
        <w:rPr>
          <w:rFonts w:eastAsiaTheme="minorEastAsia"/>
          <w:noProof/>
          <w:lang w:eastAsia="en-US"/>
        </w:rPr>
        <w:t xml:space="preserve"> </w:t>
      </w:r>
      <w:r w:rsidR="000757C7" w:rsidRPr="00B12335">
        <w:rPr>
          <w:rFonts w:eastAsiaTheme="minorEastAsia"/>
          <w:noProof/>
          <w:lang w:eastAsia="en-US"/>
        </w:rPr>
        <w:t>викласти в такій редакції:</w:t>
      </w:r>
    </w:p>
    <w:p w14:paraId="64DB7B8F" w14:textId="57B19077" w:rsidR="00B07180" w:rsidRPr="00B12335" w:rsidRDefault="00B07180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«27. Фонд під час визначення розміру КР ураховує:</w:t>
      </w:r>
    </w:p>
    <w:p w14:paraId="7C7039A8" w14:textId="77777777" w:rsidR="00B07180" w:rsidRPr="00B12335" w:rsidRDefault="00B07180" w:rsidP="000757C7">
      <w:pPr>
        <w:ind w:firstLine="567"/>
        <w:rPr>
          <w:rFonts w:eastAsiaTheme="minorEastAsia"/>
          <w:noProof/>
          <w:lang w:eastAsia="en-US"/>
        </w:rPr>
      </w:pPr>
    </w:p>
    <w:p w14:paraId="29860EEB" w14:textId="0299E464" w:rsidR="000757C7" w:rsidRPr="00B12335" w:rsidRDefault="000757C7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lastRenderedPageBreak/>
        <w:t>1) інструменти передавання кредитного ризику, якими є гарантії</w:t>
      </w:r>
      <w:r w:rsidRPr="00B12335">
        <w:rPr>
          <w:lang w:val="ru-RU"/>
        </w:rPr>
        <w:t> </w:t>
      </w:r>
      <w:r w:rsidRPr="00B12335">
        <w:rPr>
          <w:shd w:val="clear" w:color="auto" w:fill="FFFFFF"/>
        </w:rPr>
        <w:t>/</w:t>
      </w:r>
      <w:r w:rsidRPr="00B12335">
        <w:rPr>
          <w:lang w:val="ru-RU"/>
        </w:rPr>
        <w:t> </w:t>
      </w:r>
      <w:r w:rsidRPr="00B12335">
        <w:rPr>
          <w:rFonts w:eastAsiaTheme="minorEastAsia"/>
          <w:noProof/>
          <w:lang w:eastAsia="en-US"/>
        </w:rPr>
        <w:t>резервні акредитиви:</w:t>
      </w:r>
    </w:p>
    <w:p w14:paraId="16F7123C" w14:textId="52000AE8" w:rsidR="000757C7" w:rsidRPr="00B12335" w:rsidRDefault="000757C7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Уряду України, центральних органів виконавчої влади країн, що мають кредитний рейтинг не нижчий, ніж рівень “АА-” за класифікацією</w:t>
      </w:r>
      <w:r w:rsidR="00844609" w:rsidRPr="00B12335">
        <w:t xml:space="preserve"> </w:t>
      </w:r>
      <w:r w:rsidR="00844609" w:rsidRPr="00B12335">
        <w:rPr>
          <w:rFonts w:eastAsiaTheme="minorEastAsia"/>
          <w:noProof/>
          <w:lang w:eastAsia="en-US"/>
        </w:rPr>
        <w:t>іноземного</w:t>
      </w:r>
      <w:r w:rsidRPr="00B12335">
        <w:rPr>
          <w:rFonts w:eastAsiaTheme="minorEastAsia"/>
          <w:noProof/>
          <w:lang w:eastAsia="en-US"/>
        </w:rPr>
        <w:t xml:space="preserve"> рейтингового агентства “Standard&amp;Poor’s” або </w:t>
      </w:r>
      <w:r w:rsidR="00844609" w:rsidRPr="00B12335">
        <w:rPr>
          <w:rFonts w:eastAsiaTheme="minorEastAsia"/>
          <w:noProof/>
          <w:lang w:eastAsia="en-US"/>
        </w:rPr>
        <w:t xml:space="preserve">іноземного </w:t>
      </w:r>
      <w:r w:rsidRPr="00B12335">
        <w:rPr>
          <w:rFonts w:eastAsiaTheme="minorEastAsia"/>
          <w:noProof/>
          <w:lang w:eastAsia="en-US"/>
        </w:rPr>
        <w:t>рейтингового агентства “Fitch Ratings”</w:t>
      </w:r>
      <w:r w:rsidRPr="00B12335">
        <w:rPr>
          <w:lang w:val="ru-RU"/>
        </w:rPr>
        <w:t> </w:t>
      </w:r>
      <w:r w:rsidRPr="00B12335">
        <w:rPr>
          <w:shd w:val="clear" w:color="auto" w:fill="FFFFFF"/>
        </w:rPr>
        <w:t>/</w:t>
      </w:r>
      <w:r w:rsidRPr="00B12335">
        <w:rPr>
          <w:lang w:val="ru-RU"/>
        </w:rPr>
        <w:t> </w:t>
      </w:r>
      <w:r w:rsidRPr="00B12335">
        <w:rPr>
          <w:rFonts w:eastAsiaTheme="minorEastAsia"/>
          <w:noProof/>
          <w:lang w:eastAsia="en-US"/>
        </w:rPr>
        <w:t xml:space="preserve">рівень “Аа3” за класифікацією </w:t>
      </w:r>
      <w:r w:rsidR="00844609" w:rsidRPr="00B12335">
        <w:rPr>
          <w:rFonts w:eastAsiaTheme="minorEastAsia"/>
          <w:noProof/>
          <w:lang w:eastAsia="en-US"/>
        </w:rPr>
        <w:t xml:space="preserve">іноземного </w:t>
      </w:r>
      <w:r w:rsidRPr="00B12335">
        <w:rPr>
          <w:rFonts w:eastAsiaTheme="minorEastAsia"/>
          <w:noProof/>
          <w:lang w:eastAsia="en-US"/>
        </w:rPr>
        <w:t>рейтингового агентства “Moody’s Investors Service”;</w:t>
      </w:r>
    </w:p>
    <w:p w14:paraId="1F833881" w14:textId="77777777" w:rsidR="000757C7" w:rsidRPr="00B12335" w:rsidRDefault="000757C7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міжнародних банків розвитку;</w:t>
      </w:r>
    </w:p>
    <w:p w14:paraId="30D41757" w14:textId="5CFCFB18" w:rsidR="00B07180" w:rsidRPr="00B12335" w:rsidRDefault="000757C7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 xml:space="preserve">іншої фінансової установи, що має кредитний не нижчий, ніж рівень “АА-” за класифікацією </w:t>
      </w:r>
      <w:r w:rsidR="00844609" w:rsidRPr="00B12335">
        <w:rPr>
          <w:rFonts w:eastAsiaTheme="minorEastAsia"/>
          <w:noProof/>
          <w:lang w:eastAsia="en-US"/>
        </w:rPr>
        <w:t xml:space="preserve">іноземного </w:t>
      </w:r>
      <w:r w:rsidRPr="00B12335">
        <w:rPr>
          <w:rFonts w:eastAsiaTheme="minorEastAsia"/>
          <w:noProof/>
          <w:lang w:eastAsia="en-US"/>
        </w:rPr>
        <w:t xml:space="preserve">рейтингового агентства “Standard&amp;Poor’s” або </w:t>
      </w:r>
      <w:r w:rsidR="00844609" w:rsidRPr="00B12335">
        <w:rPr>
          <w:rFonts w:eastAsiaTheme="minorEastAsia"/>
          <w:noProof/>
          <w:lang w:eastAsia="en-US"/>
        </w:rPr>
        <w:t xml:space="preserve">іноземного </w:t>
      </w:r>
      <w:r w:rsidRPr="00B12335">
        <w:rPr>
          <w:rFonts w:eastAsiaTheme="minorEastAsia"/>
          <w:noProof/>
          <w:lang w:eastAsia="en-US"/>
        </w:rPr>
        <w:t>рейтингового агентства “Fitch Ratings”</w:t>
      </w:r>
      <w:r w:rsidRPr="00B12335">
        <w:rPr>
          <w:lang w:val="ru-RU"/>
        </w:rPr>
        <w:t> </w:t>
      </w:r>
      <w:r w:rsidRPr="00B12335">
        <w:rPr>
          <w:shd w:val="clear" w:color="auto" w:fill="FFFFFF"/>
        </w:rPr>
        <w:t>/</w:t>
      </w:r>
      <w:r w:rsidRPr="00B12335">
        <w:rPr>
          <w:lang w:val="ru-RU"/>
        </w:rPr>
        <w:t> </w:t>
      </w:r>
      <w:r w:rsidRPr="00B12335">
        <w:rPr>
          <w:rFonts w:eastAsiaTheme="minorEastAsia"/>
          <w:noProof/>
          <w:lang w:eastAsia="en-US"/>
        </w:rPr>
        <w:t xml:space="preserve">рівень “Аа3” за класифікацією </w:t>
      </w:r>
      <w:r w:rsidR="00844609" w:rsidRPr="00B12335">
        <w:rPr>
          <w:rFonts w:eastAsiaTheme="minorEastAsia"/>
          <w:noProof/>
          <w:lang w:eastAsia="en-US"/>
        </w:rPr>
        <w:t xml:space="preserve">іноземного </w:t>
      </w:r>
      <w:r w:rsidRPr="00B12335">
        <w:rPr>
          <w:rFonts w:eastAsiaTheme="minorEastAsia"/>
          <w:noProof/>
          <w:lang w:eastAsia="en-US"/>
        </w:rPr>
        <w:t>рейтингового агентства “Moody’s Investors Service</w:t>
      </w:r>
      <w:r w:rsidR="00785F29" w:rsidRPr="00D87498">
        <w:rPr>
          <w:rFonts w:eastAsiaTheme="minorEastAsia"/>
          <w:noProof/>
          <w:lang w:eastAsia="en-US"/>
        </w:rPr>
        <w:t>”</w:t>
      </w:r>
      <w:r w:rsidRPr="00B12335">
        <w:rPr>
          <w:rFonts w:eastAsiaTheme="minorEastAsia"/>
          <w:noProof/>
          <w:lang w:eastAsia="en-US"/>
        </w:rPr>
        <w:t>;</w:t>
      </w:r>
    </w:p>
    <w:p w14:paraId="57E9EE7F" w14:textId="77777777" w:rsidR="00B07180" w:rsidRPr="00B12335" w:rsidRDefault="00B07180" w:rsidP="000757C7">
      <w:pPr>
        <w:ind w:firstLine="567"/>
        <w:rPr>
          <w:rFonts w:eastAsiaTheme="minorEastAsia"/>
          <w:noProof/>
          <w:lang w:eastAsia="en-US"/>
        </w:rPr>
      </w:pPr>
    </w:p>
    <w:p w14:paraId="3A67FA54" w14:textId="7FA390FE" w:rsidR="00B07180" w:rsidRPr="00B12335" w:rsidRDefault="00B07180" w:rsidP="00B07180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2) забезпечення, що є у Фонду у вигляді:</w:t>
      </w:r>
    </w:p>
    <w:p w14:paraId="41FB31CC" w14:textId="77777777" w:rsidR="00B07180" w:rsidRPr="00B12335" w:rsidRDefault="00B07180" w:rsidP="00B07180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цінних паперів, емітованих центральними органами виконавчої влади України або гарантованих Кабінетом Міністрів України;</w:t>
      </w:r>
    </w:p>
    <w:p w14:paraId="23904CDE" w14:textId="77777777" w:rsidR="00B07180" w:rsidRPr="00B12335" w:rsidRDefault="00B07180" w:rsidP="00B07180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облігацій міжнародних фінансових організацій, які на умовах, визначених їхніми установчими актами та/або відповідно до міжнародного договору України, здійснюють емісію облігацій на території України.</w:t>
      </w:r>
    </w:p>
    <w:p w14:paraId="4A379D0D" w14:textId="5CC6FD30" w:rsidR="007D0C38" w:rsidRPr="00B12335" w:rsidRDefault="000757C7" w:rsidP="000757C7">
      <w:pPr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Кредитний рейтинг</w:t>
      </w:r>
      <w:r w:rsidR="00844609" w:rsidRPr="00B12335">
        <w:rPr>
          <w:rFonts w:eastAsiaTheme="minorEastAsia"/>
          <w:noProof/>
          <w:lang w:eastAsia="en-US"/>
        </w:rPr>
        <w:t xml:space="preserve"> іноземного рейтингового агентства</w:t>
      </w:r>
      <w:r w:rsidRPr="00B12335">
        <w:rPr>
          <w:rFonts w:eastAsiaTheme="minorEastAsia"/>
          <w:noProof/>
          <w:lang w:eastAsia="en-US"/>
        </w:rPr>
        <w:t xml:space="preserve"> повинен бути дозволений до використання в Україні відповідно до Закону України “Про рейтингування”.».</w:t>
      </w:r>
    </w:p>
    <w:p w14:paraId="248524E9" w14:textId="77777777" w:rsidR="00A0631E" w:rsidRPr="007D5DD4" w:rsidRDefault="00410EC0" w:rsidP="00410EC0">
      <w:pPr>
        <w:spacing w:before="240" w:after="240"/>
        <w:ind w:firstLine="567"/>
        <w:rPr>
          <w:rFonts w:eastAsiaTheme="minorEastAsia"/>
          <w:noProof/>
          <w:lang w:val="ru-RU" w:eastAsia="en-US"/>
        </w:rPr>
      </w:pPr>
      <w:r w:rsidRPr="00B12335">
        <w:rPr>
          <w:rFonts w:eastAsiaTheme="minorEastAsia"/>
          <w:noProof/>
          <w:lang w:eastAsia="en-US"/>
        </w:rPr>
        <w:t>2. </w:t>
      </w:r>
      <w:r w:rsidR="00EC2B1A" w:rsidRPr="00B12335">
        <w:rPr>
          <w:rFonts w:eastAsiaTheme="minorEastAsia"/>
          <w:noProof/>
          <w:lang w:eastAsia="en-US"/>
        </w:rPr>
        <w:t>Ф</w:t>
      </w:r>
      <w:r w:rsidR="007D0C38" w:rsidRPr="00B12335">
        <w:rPr>
          <w:rFonts w:eastAsiaTheme="minorEastAsia"/>
          <w:noProof/>
          <w:lang w:eastAsia="en-US"/>
        </w:rPr>
        <w:t xml:space="preserve">онду </w:t>
      </w:r>
      <w:r w:rsidR="007D0C38" w:rsidRPr="00B12335">
        <w:rPr>
          <w:rFonts w:eastAsiaTheme="minorEastAsia"/>
          <w:lang w:eastAsia="en-US"/>
        </w:rPr>
        <w:t>часткового гарантування кредитів у сільському господарстві</w:t>
      </w:r>
      <w:r w:rsidR="000E08F6" w:rsidRPr="00B12335">
        <w:rPr>
          <w:rFonts w:eastAsiaTheme="minorEastAsia"/>
          <w:lang w:eastAsia="en-US"/>
        </w:rPr>
        <w:t xml:space="preserve"> (далі</w:t>
      </w:r>
      <w:r w:rsidR="000E08F6" w:rsidRPr="00B12335">
        <w:rPr>
          <w:lang w:val="ru-RU"/>
        </w:rPr>
        <w:t> </w:t>
      </w:r>
      <w:r w:rsidR="000E08F6" w:rsidRPr="00B12335">
        <w:rPr>
          <w:shd w:val="clear" w:color="auto" w:fill="FFFFFF"/>
        </w:rPr>
        <w:t>–</w:t>
      </w:r>
      <w:r w:rsidR="000E08F6" w:rsidRPr="00B12335">
        <w:rPr>
          <w:lang w:val="ru-RU"/>
        </w:rPr>
        <w:t> </w:t>
      </w:r>
      <w:r w:rsidR="000E08F6" w:rsidRPr="00B12335">
        <w:rPr>
          <w:rFonts w:eastAsiaTheme="minorEastAsia"/>
          <w:lang w:eastAsia="en-US"/>
        </w:rPr>
        <w:t>Фонд)</w:t>
      </w:r>
      <w:r w:rsidR="00EC2B1A" w:rsidRPr="00B12335">
        <w:rPr>
          <w:rFonts w:eastAsiaTheme="minorEastAsia"/>
          <w:noProof/>
          <w:lang w:eastAsia="en-US"/>
        </w:rPr>
        <w:t xml:space="preserve"> у строк до 01 </w:t>
      </w:r>
      <w:r w:rsidR="007D0C38" w:rsidRPr="00B12335">
        <w:rPr>
          <w:rFonts w:eastAsiaTheme="minorEastAsia"/>
          <w:noProof/>
          <w:lang w:eastAsia="en-US"/>
        </w:rPr>
        <w:t>червня</w:t>
      </w:r>
      <w:r w:rsidR="00EC2B1A" w:rsidRPr="00B12335">
        <w:rPr>
          <w:rFonts w:eastAsiaTheme="minorEastAsia"/>
          <w:noProof/>
          <w:lang w:eastAsia="en-US"/>
        </w:rPr>
        <w:t xml:space="preserve"> 2026 року</w:t>
      </w:r>
      <w:r w:rsidR="007D0C38" w:rsidRPr="00B12335">
        <w:rPr>
          <w:rFonts w:eastAsiaTheme="minorEastAsia"/>
          <w:noProof/>
          <w:lang w:eastAsia="en-US"/>
        </w:rPr>
        <w:t xml:space="preserve"> надати Національному банку України</w:t>
      </w:r>
      <w:r w:rsidR="002F2C73" w:rsidRPr="00B12335">
        <w:rPr>
          <w:rFonts w:eastAsiaTheme="minorEastAsia"/>
          <w:noProof/>
          <w:lang w:eastAsia="en-US"/>
        </w:rPr>
        <w:t xml:space="preserve"> </w:t>
      </w:r>
      <w:r w:rsidR="006820F0" w:rsidRPr="00B12335">
        <w:rPr>
          <w:rFonts w:eastAsiaTheme="minorEastAsia"/>
          <w:noProof/>
          <w:lang w:eastAsia="en-US"/>
        </w:rPr>
        <w:t>копію</w:t>
      </w:r>
      <w:r w:rsidR="002F2C73" w:rsidRPr="00B12335">
        <w:rPr>
          <w:rFonts w:eastAsiaTheme="minorEastAsia"/>
          <w:noProof/>
          <w:lang w:eastAsia="en-US"/>
        </w:rPr>
        <w:t xml:space="preserve"> бізнес-план</w:t>
      </w:r>
      <w:r w:rsidR="006820F0" w:rsidRPr="00B12335">
        <w:rPr>
          <w:rFonts w:eastAsiaTheme="minorEastAsia"/>
          <w:noProof/>
          <w:lang w:eastAsia="en-US"/>
        </w:rPr>
        <w:t>у</w:t>
      </w:r>
      <w:r w:rsidR="002F2C73" w:rsidRPr="00B12335">
        <w:rPr>
          <w:rFonts w:eastAsiaTheme="minorEastAsia"/>
          <w:noProof/>
          <w:lang w:eastAsia="en-US"/>
        </w:rPr>
        <w:t xml:space="preserve"> розвитку Фонду</w:t>
      </w:r>
      <w:r w:rsidR="006820F0" w:rsidRPr="00B12335">
        <w:rPr>
          <w:shd w:val="clear" w:color="auto" w:fill="FFFFFF"/>
        </w:rPr>
        <w:t xml:space="preserve">, </w:t>
      </w:r>
      <w:r w:rsidR="006820F0" w:rsidRPr="00B12335">
        <w:rPr>
          <w:rFonts w:eastAsiaTheme="minorEastAsia"/>
          <w:noProof/>
          <w:lang w:eastAsia="en-US"/>
        </w:rPr>
        <w:t>затвердженого Радою Фонду</w:t>
      </w:r>
      <w:r w:rsidR="00EC2B1A" w:rsidRPr="00B12335">
        <w:rPr>
          <w:rFonts w:eastAsiaTheme="minorEastAsia"/>
          <w:noProof/>
          <w:lang w:eastAsia="en-US"/>
        </w:rPr>
        <w:t>.</w:t>
      </w:r>
    </w:p>
    <w:p w14:paraId="13385FB8" w14:textId="1C7736FC" w:rsidR="00410EC0" w:rsidRPr="00B12335" w:rsidRDefault="00410EC0" w:rsidP="00410EC0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3. </w:t>
      </w:r>
      <w:r w:rsidR="00EC2B1A" w:rsidRPr="00B12335">
        <w:rPr>
          <w:rFonts w:eastAsiaTheme="minorEastAsia"/>
          <w:noProof/>
          <w:lang w:eastAsia="en-US"/>
        </w:rPr>
        <w:t xml:space="preserve">Департаменту методології регулювання діяльності небанківських фінансових установ (Сергій Савчук) довести до відома </w:t>
      </w:r>
      <w:r w:rsidR="007D0C38" w:rsidRPr="00B12335">
        <w:rPr>
          <w:rFonts w:eastAsiaTheme="minorEastAsia"/>
          <w:noProof/>
          <w:lang w:eastAsia="en-US"/>
        </w:rPr>
        <w:t xml:space="preserve">Фонду </w:t>
      </w:r>
      <w:r w:rsidR="00EC2B1A" w:rsidRPr="00B12335">
        <w:rPr>
          <w:rFonts w:eastAsiaTheme="minorEastAsia"/>
          <w:noProof/>
          <w:lang w:eastAsia="en-US"/>
        </w:rPr>
        <w:t>інформацію про прийняття цієї постанови.</w:t>
      </w:r>
    </w:p>
    <w:p w14:paraId="13385FBC" w14:textId="477543E6" w:rsidR="00410EC0" w:rsidRPr="00B12335" w:rsidRDefault="00A72446" w:rsidP="00EC2B1A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B12335">
        <w:rPr>
          <w:rFonts w:eastAsiaTheme="minorEastAsia"/>
          <w:noProof/>
          <w:lang w:eastAsia="en-US"/>
        </w:rPr>
        <w:t>4. </w:t>
      </w:r>
      <w:r w:rsidR="00EC2B1A" w:rsidRPr="00B12335">
        <w:rPr>
          <w:rFonts w:eastAsiaTheme="minorEastAsia"/>
          <w:noProof/>
          <w:lang w:eastAsia="en-US"/>
        </w:rPr>
        <w:t xml:space="preserve">Постанова набирає чинності з </w:t>
      </w:r>
      <w:r w:rsidR="007D0C38" w:rsidRPr="00B12335">
        <w:rPr>
          <w:rFonts w:eastAsiaTheme="minorEastAsia"/>
          <w:noProof/>
          <w:lang w:eastAsia="en-US"/>
        </w:rPr>
        <w:t>01 січня 2026 року</w:t>
      </w:r>
      <w:r w:rsidR="00EC2B1A" w:rsidRPr="00B12335">
        <w:rPr>
          <w:rFonts w:eastAsiaTheme="minorEastAsia"/>
          <w:noProof/>
          <w:lang w:eastAsia="en-US"/>
        </w:rPr>
        <w:t>.</w:t>
      </w:r>
    </w:p>
    <w:p w14:paraId="13385FBE" w14:textId="77777777" w:rsidR="00410EC0" w:rsidRPr="00E52A5D" w:rsidRDefault="00410EC0" w:rsidP="00410EC0">
      <w:pPr>
        <w:spacing w:after="120"/>
        <w:rPr>
          <w:lang w:val="ru-RU"/>
        </w:rPr>
      </w:pPr>
    </w:p>
    <w:p w14:paraId="13385FBF" w14:textId="77777777" w:rsidR="00410EC0" w:rsidRPr="00CD0CD4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CD0CD4" w14:paraId="13385FC2" w14:textId="77777777" w:rsidTr="000F60CD">
        <w:tc>
          <w:tcPr>
            <w:tcW w:w="5387" w:type="dxa"/>
            <w:vAlign w:val="bottom"/>
          </w:tcPr>
          <w:p w14:paraId="13385FC0" w14:textId="6DD4C37E" w:rsidR="00410EC0" w:rsidRPr="00CD0CD4" w:rsidRDefault="0027493E" w:rsidP="009B7F4D">
            <w:pPr>
              <w:autoSpaceDE w:val="0"/>
              <w:autoSpaceDN w:val="0"/>
              <w:ind w:left="-111"/>
              <w:jc w:val="left"/>
            </w:pPr>
            <w:r w:rsidRPr="00E8382E">
              <w:t>Голова</w:t>
            </w:r>
          </w:p>
        </w:tc>
        <w:tc>
          <w:tcPr>
            <w:tcW w:w="4252" w:type="dxa"/>
            <w:vAlign w:val="bottom"/>
          </w:tcPr>
          <w:p w14:paraId="13385FC1" w14:textId="10DC5C99" w:rsidR="00410EC0" w:rsidRPr="00CD0CD4" w:rsidRDefault="0027493E" w:rsidP="000F60C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E8382E">
              <w:t>Андрій ПИШНИЙ</w:t>
            </w:r>
          </w:p>
        </w:tc>
      </w:tr>
    </w:tbl>
    <w:p w14:paraId="13385FC3" w14:textId="77777777" w:rsidR="00410EC0" w:rsidRPr="00CD0CD4" w:rsidRDefault="00410EC0" w:rsidP="00410EC0"/>
    <w:p w14:paraId="13385FC4" w14:textId="77777777" w:rsidR="00410EC0" w:rsidRPr="00CD0CD4" w:rsidRDefault="00410EC0" w:rsidP="00410EC0"/>
    <w:p w14:paraId="13385FCE" w14:textId="4021A393" w:rsidR="00E97A59" w:rsidRPr="00205A2C" w:rsidRDefault="00410EC0" w:rsidP="0027493E">
      <w:pPr>
        <w:jc w:val="left"/>
        <w:rPr>
          <w:lang w:val="ru-RU"/>
        </w:rPr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27493E">
        <w:t>33</w:t>
      </w:r>
    </w:p>
    <w:sectPr w:rsidR="00E97A59" w:rsidRPr="00205A2C" w:rsidSect="00B930E3">
      <w:headerReference w:type="default" r:id="rId13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241B" w14:textId="77777777" w:rsidR="00CB3B40" w:rsidRDefault="00CB3B40" w:rsidP="00E53CCD">
      <w:r>
        <w:separator/>
      </w:r>
    </w:p>
  </w:endnote>
  <w:endnote w:type="continuationSeparator" w:id="0">
    <w:p w14:paraId="4E5A20B6" w14:textId="77777777" w:rsidR="00CB3B40" w:rsidRDefault="00CB3B40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1A9B0" w14:textId="77777777" w:rsidR="00CB3B40" w:rsidRDefault="00CB3B40" w:rsidP="00E53CCD">
      <w:r>
        <w:separator/>
      </w:r>
    </w:p>
  </w:footnote>
  <w:footnote w:type="continuationSeparator" w:id="0">
    <w:p w14:paraId="4A558E90" w14:textId="77777777" w:rsidR="00CB3B40" w:rsidRDefault="00CB3B40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803687"/>
      <w:docPartObj>
        <w:docPartGallery w:val="Page Numbers (Top of Page)"/>
        <w:docPartUnique/>
      </w:docPartObj>
    </w:sdtPr>
    <w:sdtEndPr/>
    <w:sdtContent>
      <w:p w14:paraId="5D02538F" w14:textId="09905AAA" w:rsidR="00205A2C" w:rsidRDefault="00205A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498">
          <w:rPr>
            <w:noProof/>
          </w:rPr>
          <w:t>2</w:t>
        </w:r>
        <w:r>
          <w:fldChar w:fldCharType="end"/>
        </w:r>
      </w:p>
    </w:sdtContent>
  </w:sdt>
  <w:p w14:paraId="3E0B729A" w14:textId="77777777" w:rsidR="00205A2C" w:rsidRDefault="00205A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64FA"/>
    <w:rsid w:val="000079BB"/>
    <w:rsid w:val="00015FDE"/>
    <w:rsid w:val="00016403"/>
    <w:rsid w:val="000378F7"/>
    <w:rsid w:val="0003793C"/>
    <w:rsid w:val="000506D8"/>
    <w:rsid w:val="00063480"/>
    <w:rsid w:val="000713E8"/>
    <w:rsid w:val="0007346C"/>
    <w:rsid w:val="000757C7"/>
    <w:rsid w:val="00097B89"/>
    <w:rsid w:val="000B2990"/>
    <w:rsid w:val="000B5ADB"/>
    <w:rsid w:val="000C3F58"/>
    <w:rsid w:val="000D44E2"/>
    <w:rsid w:val="000E08F6"/>
    <w:rsid w:val="000E4B44"/>
    <w:rsid w:val="000E700F"/>
    <w:rsid w:val="000F3636"/>
    <w:rsid w:val="00100163"/>
    <w:rsid w:val="001025EF"/>
    <w:rsid w:val="00102C1C"/>
    <w:rsid w:val="00106553"/>
    <w:rsid w:val="001068E6"/>
    <w:rsid w:val="001244D0"/>
    <w:rsid w:val="001577A3"/>
    <w:rsid w:val="001652CD"/>
    <w:rsid w:val="001709AA"/>
    <w:rsid w:val="001740C0"/>
    <w:rsid w:val="0018608D"/>
    <w:rsid w:val="00190E1A"/>
    <w:rsid w:val="00192423"/>
    <w:rsid w:val="001A16FA"/>
    <w:rsid w:val="001A42D2"/>
    <w:rsid w:val="001D3A55"/>
    <w:rsid w:val="001D487A"/>
    <w:rsid w:val="001E2732"/>
    <w:rsid w:val="001E5DB4"/>
    <w:rsid w:val="001F591C"/>
    <w:rsid w:val="001F64D4"/>
    <w:rsid w:val="001F71E8"/>
    <w:rsid w:val="00204F22"/>
    <w:rsid w:val="00205A2C"/>
    <w:rsid w:val="00207DA9"/>
    <w:rsid w:val="0021268A"/>
    <w:rsid w:val="002311BC"/>
    <w:rsid w:val="00233146"/>
    <w:rsid w:val="0023651D"/>
    <w:rsid w:val="00241373"/>
    <w:rsid w:val="002453A3"/>
    <w:rsid w:val="00245EDB"/>
    <w:rsid w:val="0025312E"/>
    <w:rsid w:val="00253BF9"/>
    <w:rsid w:val="00257FAC"/>
    <w:rsid w:val="00262262"/>
    <w:rsid w:val="00264983"/>
    <w:rsid w:val="00272B80"/>
    <w:rsid w:val="0027493E"/>
    <w:rsid w:val="002843E5"/>
    <w:rsid w:val="002846E4"/>
    <w:rsid w:val="002A172E"/>
    <w:rsid w:val="002A35B8"/>
    <w:rsid w:val="002A7DE0"/>
    <w:rsid w:val="002C677D"/>
    <w:rsid w:val="002C7B4D"/>
    <w:rsid w:val="002D171B"/>
    <w:rsid w:val="002D1790"/>
    <w:rsid w:val="002D5205"/>
    <w:rsid w:val="002D52F9"/>
    <w:rsid w:val="002E023A"/>
    <w:rsid w:val="002F2C73"/>
    <w:rsid w:val="002F33F0"/>
    <w:rsid w:val="002F660B"/>
    <w:rsid w:val="00312CCE"/>
    <w:rsid w:val="0031386A"/>
    <w:rsid w:val="00314374"/>
    <w:rsid w:val="00315CBA"/>
    <w:rsid w:val="003162CA"/>
    <w:rsid w:val="0031768F"/>
    <w:rsid w:val="003242AD"/>
    <w:rsid w:val="0033133D"/>
    <w:rsid w:val="00352EE8"/>
    <w:rsid w:val="00356E34"/>
    <w:rsid w:val="00357676"/>
    <w:rsid w:val="003606F9"/>
    <w:rsid w:val="00364833"/>
    <w:rsid w:val="00371783"/>
    <w:rsid w:val="00375A90"/>
    <w:rsid w:val="00376298"/>
    <w:rsid w:val="0038167B"/>
    <w:rsid w:val="0038385E"/>
    <w:rsid w:val="003904D6"/>
    <w:rsid w:val="003A383B"/>
    <w:rsid w:val="003B01C3"/>
    <w:rsid w:val="003B4F96"/>
    <w:rsid w:val="003C3282"/>
    <w:rsid w:val="003C357F"/>
    <w:rsid w:val="003C3985"/>
    <w:rsid w:val="003C421E"/>
    <w:rsid w:val="003C7337"/>
    <w:rsid w:val="003D19A3"/>
    <w:rsid w:val="003F4317"/>
    <w:rsid w:val="003F5F00"/>
    <w:rsid w:val="00401EDB"/>
    <w:rsid w:val="00404C93"/>
    <w:rsid w:val="00407877"/>
    <w:rsid w:val="00410EC0"/>
    <w:rsid w:val="00410FA1"/>
    <w:rsid w:val="004318B3"/>
    <w:rsid w:val="004414F7"/>
    <w:rsid w:val="00455B45"/>
    <w:rsid w:val="00472E7B"/>
    <w:rsid w:val="00484152"/>
    <w:rsid w:val="00494BE0"/>
    <w:rsid w:val="004A7F75"/>
    <w:rsid w:val="004B34A6"/>
    <w:rsid w:val="004B4733"/>
    <w:rsid w:val="004D7E2E"/>
    <w:rsid w:val="004E0515"/>
    <w:rsid w:val="004E22E2"/>
    <w:rsid w:val="004F1E8E"/>
    <w:rsid w:val="004F5AE4"/>
    <w:rsid w:val="004F62FC"/>
    <w:rsid w:val="00523C13"/>
    <w:rsid w:val="005257C2"/>
    <w:rsid w:val="00540210"/>
    <w:rsid w:val="00542533"/>
    <w:rsid w:val="005537EC"/>
    <w:rsid w:val="005624B6"/>
    <w:rsid w:val="00563A19"/>
    <w:rsid w:val="00563AC1"/>
    <w:rsid w:val="0057237F"/>
    <w:rsid w:val="00577402"/>
    <w:rsid w:val="005834E3"/>
    <w:rsid w:val="00591298"/>
    <w:rsid w:val="005A0F4B"/>
    <w:rsid w:val="005A1D3C"/>
    <w:rsid w:val="005A2BBA"/>
    <w:rsid w:val="005A3F34"/>
    <w:rsid w:val="005A6B99"/>
    <w:rsid w:val="005B2D03"/>
    <w:rsid w:val="005B6B3A"/>
    <w:rsid w:val="005C5CBF"/>
    <w:rsid w:val="005D2F3D"/>
    <w:rsid w:val="005D66B8"/>
    <w:rsid w:val="005E10EC"/>
    <w:rsid w:val="005F6418"/>
    <w:rsid w:val="00600837"/>
    <w:rsid w:val="006060B0"/>
    <w:rsid w:val="00610F11"/>
    <w:rsid w:val="0061599B"/>
    <w:rsid w:val="00627799"/>
    <w:rsid w:val="0063071E"/>
    <w:rsid w:val="0063220D"/>
    <w:rsid w:val="0063271C"/>
    <w:rsid w:val="00640612"/>
    <w:rsid w:val="006463AB"/>
    <w:rsid w:val="00653558"/>
    <w:rsid w:val="00655864"/>
    <w:rsid w:val="00670C95"/>
    <w:rsid w:val="006717AF"/>
    <w:rsid w:val="00681460"/>
    <w:rsid w:val="006820F0"/>
    <w:rsid w:val="00684225"/>
    <w:rsid w:val="006871CD"/>
    <w:rsid w:val="00695A12"/>
    <w:rsid w:val="006A0AE1"/>
    <w:rsid w:val="006B2748"/>
    <w:rsid w:val="006C4176"/>
    <w:rsid w:val="006C66EF"/>
    <w:rsid w:val="006D2617"/>
    <w:rsid w:val="006E2386"/>
    <w:rsid w:val="006F3CFB"/>
    <w:rsid w:val="0070152E"/>
    <w:rsid w:val="00702896"/>
    <w:rsid w:val="0071789F"/>
    <w:rsid w:val="0073538C"/>
    <w:rsid w:val="007476B2"/>
    <w:rsid w:val="00750D9F"/>
    <w:rsid w:val="007802D9"/>
    <w:rsid w:val="00783AF2"/>
    <w:rsid w:val="00785F29"/>
    <w:rsid w:val="0079324A"/>
    <w:rsid w:val="00795577"/>
    <w:rsid w:val="007A038B"/>
    <w:rsid w:val="007A471D"/>
    <w:rsid w:val="007A6609"/>
    <w:rsid w:val="007B1D3D"/>
    <w:rsid w:val="007D0C38"/>
    <w:rsid w:val="007D1915"/>
    <w:rsid w:val="007D5DD4"/>
    <w:rsid w:val="007E2E2F"/>
    <w:rsid w:val="007F24D1"/>
    <w:rsid w:val="007F514C"/>
    <w:rsid w:val="00802988"/>
    <w:rsid w:val="00811C89"/>
    <w:rsid w:val="008135AE"/>
    <w:rsid w:val="00834346"/>
    <w:rsid w:val="00844609"/>
    <w:rsid w:val="00850F68"/>
    <w:rsid w:val="008555CA"/>
    <w:rsid w:val="00863DD5"/>
    <w:rsid w:val="00866993"/>
    <w:rsid w:val="00874366"/>
    <w:rsid w:val="008A2D02"/>
    <w:rsid w:val="008A58E9"/>
    <w:rsid w:val="008A704D"/>
    <w:rsid w:val="008B014D"/>
    <w:rsid w:val="008B164A"/>
    <w:rsid w:val="008C2498"/>
    <w:rsid w:val="008D10FD"/>
    <w:rsid w:val="008D122F"/>
    <w:rsid w:val="008D1DFC"/>
    <w:rsid w:val="008D28FB"/>
    <w:rsid w:val="009048A1"/>
    <w:rsid w:val="00904F17"/>
    <w:rsid w:val="0092303A"/>
    <w:rsid w:val="00926BDF"/>
    <w:rsid w:val="00931B87"/>
    <w:rsid w:val="009425C5"/>
    <w:rsid w:val="00942B4D"/>
    <w:rsid w:val="0095506C"/>
    <w:rsid w:val="00961672"/>
    <w:rsid w:val="0097288F"/>
    <w:rsid w:val="009747F6"/>
    <w:rsid w:val="00984B02"/>
    <w:rsid w:val="009943E9"/>
    <w:rsid w:val="00994CD4"/>
    <w:rsid w:val="00995A8D"/>
    <w:rsid w:val="009A4DE6"/>
    <w:rsid w:val="009B7F4D"/>
    <w:rsid w:val="009C717F"/>
    <w:rsid w:val="009D6D44"/>
    <w:rsid w:val="009E3454"/>
    <w:rsid w:val="009E51D0"/>
    <w:rsid w:val="009F298B"/>
    <w:rsid w:val="009F2ED0"/>
    <w:rsid w:val="009F4136"/>
    <w:rsid w:val="009F5312"/>
    <w:rsid w:val="00A0071D"/>
    <w:rsid w:val="00A0631E"/>
    <w:rsid w:val="00A06ADB"/>
    <w:rsid w:val="00A104FB"/>
    <w:rsid w:val="00A23E04"/>
    <w:rsid w:val="00A47EF0"/>
    <w:rsid w:val="00A50DC0"/>
    <w:rsid w:val="00A51C39"/>
    <w:rsid w:val="00A53121"/>
    <w:rsid w:val="00A708BE"/>
    <w:rsid w:val="00A72446"/>
    <w:rsid w:val="00A72F06"/>
    <w:rsid w:val="00A77FFD"/>
    <w:rsid w:val="00A87FE2"/>
    <w:rsid w:val="00A93D3F"/>
    <w:rsid w:val="00AA2423"/>
    <w:rsid w:val="00AA726B"/>
    <w:rsid w:val="00AB1C0F"/>
    <w:rsid w:val="00AB28F1"/>
    <w:rsid w:val="00AC47B6"/>
    <w:rsid w:val="00AC5CD0"/>
    <w:rsid w:val="00AE16F0"/>
    <w:rsid w:val="00AF59AC"/>
    <w:rsid w:val="00B03448"/>
    <w:rsid w:val="00B07180"/>
    <w:rsid w:val="00B12335"/>
    <w:rsid w:val="00B12A6F"/>
    <w:rsid w:val="00B2098F"/>
    <w:rsid w:val="00B224AE"/>
    <w:rsid w:val="00B24F71"/>
    <w:rsid w:val="00B31892"/>
    <w:rsid w:val="00B332B2"/>
    <w:rsid w:val="00B3574C"/>
    <w:rsid w:val="00B4018B"/>
    <w:rsid w:val="00B41B40"/>
    <w:rsid w:val="00B5752E"/>
    <w:rsid w:val="00B616A5"/>
    <w:rsid w:val="00B62573"/>
    <w:rsid w:val="00B651CA"/>
    <w:rsid w:val="00B66974"/>
    <w:rsid w:val="00B67B26"/>
    <w:rsid w:val="00B77FBC"/>
    <w:rsid w:val="00B81417"/>
    <w:rsid w:val="00B85728"/>
    <w:rsid w:val="00B930E3"/>
    <w:rsid w:val="00BA1874"/>
    <w:rsid w:val="00BA3A3C"/>
    <w:rsid w:val="00BB44AB"/>
    <w:rsid w:val="00BC6419"/>
    <w:rsid w:val="00BD0207"/>
    <w:rsid w:val="00BD3F55"/>
    <w:rsid w:val="00BE6C11"/>
    <w:rsid w:val="00BF02AC"/>
    <w:rsid w:val="00BF052C"/>
    <w:rsid w:val="00BF0770"/>
    <w:rsid w:val="00BF2F1D"/>
    <w:rsid w:val="00C042B0"/>
    <w:rsid w:val="00C07059"/>
    <w:rsid w:val="00C21D33"/>
    <w:rsid w:val="00C22D27"/>
    <w:rsid w:val="00C261F6"/>
    <w:rsid w:val="00C36ED6"/>
    <w:rsid w:val="00C41293"/>
    <w:rsid w:val="00C422E3"/>
    <w:rsid w:val="00C4377C"/>
    <w:rsid w:val="00C437A7"/>
    <w:rsid w:val="00C65DEC"/>
    <w:rsid w:val="00C763A3"/>
    <w:rsid w:val="00C80F5E"/>
    <w:rsid w:val="00C82259"/>
    <w:rsid w:val="00C831BC"/>
    <w:rsid w:val="00C8418C"/>
    <w:rsid w:val="00CA3C7D"/>
    <w:rsid w:val="00CB3B40"/>
    <w:rsid w:val="00CD1636"/>
    <w:rsid w:val="00CD6DBB"/>
    <w:rsid w:val="00CD7381"/>
    <w:rsid w:val="00CE3B9F"/>
    <w:rsid w:val="00D0057B"/>
    <w:rsid w:val="00D04C90"/>
    <w:rsid w:val="00D117B9"/>
    <w:rsid w:val="00D11F25"/>
    <w:rsid w:val="00D2398C"/>
    <w:rsid w:val="00D27113"/>
    <w:rsid w:val="00D33A3D"/>
    <w:rsid w:val="00D34DCC"/>
    <w:rsid w:val="00D74DCE"/>
    <w:rsid w:val="00D842D0"/>
    <w:rsid w:val="00D87498"/>
    <w:rsid w:val="00DC0112"/>
    <w:rsid w:val="00DC1E60"/>
    <w:rsid w:val="00DC3230"/>
    <w:rsid w:val="00DC4668"/>
    <w:rsid w:val="00DD106B"/>
    <w:rsid w:val="00DD4453"/>
    <w:rsid w:val="00DD60CC"/>
    <w:rsid w:val="00DD71CB"/>
    <w:rsid w:val="00DF6B09"/>
    <w:rsid w:val="00E1590C"/>
    <w:rsid w:val="00E33B0E"/>
    <w:rsid w:val="00E34A3F"/>
    <w:rsid w:val="00E43E79"/>
    <w:rsid w:val="00E53CB5"/>
    <w:rsid w:val="00E53CCD"/>
    <w:rsid w:val="00E8777E"/>
    <w:rsid w:val="00E97A59"/>
    <w:rsid w:val="00EA03E2"/>
    <w:rsid w:val="00EA1DE4"/>
    <w:rsid w:val="00EA3A24"/>
    <w:rsid w:val="00EC2B1A"/>
    <w:rsid w:val="00ED042F"/>
    <w:rsid w:val="00ED3F90"/>
    <w:rsid w:val="00ED5EF3"/>
    <w:rsid w:val="00EE3E8A"/>
    <w:rsid w:val="00F003D3"/>
    <w:rsid w:val="00F03226"/>
    <w:rsid w:val="00F03E32"/>
    <w:rsid w:val="00F31023"/>
    <w:rsid w:val="00F332C0"/>
    <w:rsid w:val="00F42E75"/>
    <w:rsid w:val="00F52D16"/>
    <w:rsid w:val="00F63BD9"/>
    <w:rsid w:val="00F6694C"/>
    <w:rsid w:val="00F7241C"/>
    <w:rsid w:val="00F73BCE"/>
    <w:rsid w:val="00F80D21"/>
    <w:rsid w:val="00F96245"/>
    <w:rsid w:val="00F96F18"/>
    <w:rsid w:val="00FA7B67"/>
    <w:rsid w:val="00FB56F1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85F9F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sid w:val="00BF2F1D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BF2F1D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qFormat/>
    <w:rsid w:val="00BF2F1D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2F1D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BF2F1D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styleId="afa">
    <w:name w:val="FollowedHyperlink"/>
    <w:basedOn w:val="a0"/>
    <w:uiPriority w:val="99"/>
    <w:semiHidden/>
    <w:unhideWhenUsed/>
    <w:rsid w:val="002A3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0_&#1045;&#1083;&#1077;&#1082;&#1090;&#1088;&#1086;&#1085;&#1085;&#1077;%20&#1087;&#1086;&#1074;i&#1076;&#1086;&#1084;&#1083;&#1077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B2F057-6F5F-4A98-ACE9-C6AC3B30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00_Електронне повiдомлення</Template>
  <TotalTime>90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Коломієць Інна Петрівна</cp:lastModifiedBy>
  <cp:revision>8</cp:revision>
  <cp:lastPrinted>2025-07-18T12:14:00Z</cp:lastPrinted>
  <dcterms:created xsi:type="dcterms:W3CDTF">2025-11-25T13:53:00Z</dcterms:created>
  <dcterms:modified xsi:type="dcterms:W3CDTF">2025-11-28T07:18:00Z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